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spacing w:line="360" w:lineRule="auto"/>
        <w:ind w:left="0" w:leftChars="0" w:right="0"/>
        <w:jc w:val="center"/>
        <w:rPr>
          <w:rFonts w:hint="default" w:ascii="Times New Roman" w:hAnsi="Times New Roman" w:eastAsia="方正小标宋_GBK" w:cs="Times New Roman"/>
          <w:color w:val="auto"/>
          <w:sz w:val="72"/>
          <w:szCs w:val="72"/>
          <w:highlight w:val="none"/>
        </w:rPr>
      </w:pPr>
    </w:p>
    <w:p>
      <w:pPr>
        <w:pageBreakBefore w:val="0"/>
        <w:kinsoku/>
        <w:wordWrap/>
        <w:bidi w:val="0"/>
        <w:spacing w:line="360" w:lineRule="auto"/>
        <w:ind w:left="0" w:leftChars="0" w:right="0"/>
        <w:jc w:val="center"/>
        <w:rPr>
          <w:rFonts w:hint="default" w:ascii="Times New Roman" w:hAnsi="Times New Roman" w:eastAsia="方正小标宋_GBK" w:cs="Times New Roman"/>
          <w:color w:val="auto"/>
          <w:sz w:val="72"/>
          <w:szCs w:val="72"/>
          <w:highlight w:val="none"/>
        </w:rPr>
      </w:pPr>
    </w:p>
    <w:p>
      <w:pPr>
        <w:pageBreakBefore w:val="0"/>
        <w:kinsoku/>
        <w:wordWrap/>
        <w:bidi w:val="0"/>
        <w:spacing w:line="360" w:lineRule="auto"/>
        <w:ind w:left="0" w:leftChars="0" w:right="0"/>
        <w:jc w:val="center"/>
        <w:outlineLvl w:val="0"/>
        <w:rPr>
          <w:rFonts w:hint="default" w:ascii="Times New Roman" w:hAnsi="Times New Roman" w:eastAsia="方正小标宋_GBK" w:cs="Times New Roman"/>
          <w:color w:val="auto"/>
          <w:sz w:val="72"/>
          <w:szCs w:val="72"/>
          <w:highlight w:val="none"/>
        </w:rPr>
      </w:pPr>
      <w:r>
        <w:rPr>
          <w:rFonts w:hint="default" w:ascii="Times New Roman" w:hAnsi="Times New Roman" w:eastAsia="方正小标宋_GBK" w:cs="Times New Roman"/>
          <w:color w:val="auto"/>
          <w:sz w:val="72"/>
          <w:szCs w:val="72"/>
          <w:highlight w:val="none"/>
        </w:rPr>
        <w:t>建设项目环境影响报告表</w:t>
      </w:r>
    </w:p>
    <w:p>
      <w:pPr>
        <w:pageBreakBefore w:val="0"/>
        <w:kinsoku/>
        <w:wordWrap/>
        <w:bidi w:val="0"/>
        <w:spacing w:line="360" w:lineRule="auto"/>
        <w:ind w:left="0" w:leftChars="0" w:right="0"/>
        <w:jc w:val="center"/>
        <w:rPr>
          <w:rFonts w:hint="default" w:ascii="Times New Roman" w:hAnsi="Times New Roman" w:eastAsia="楷体" w:cs="Times New Roman"/>
          <w:color w:val="auto"/>
          <w:sz w:val="48"/>
          <w:szCs w:val="48"/>
          <w:highlight w:val="none"/>
        </w:rPr>
      </w:pPr>
      <w:r>
        <w:rPr>
          <w:rFonts w:hint="default" w:ascii="Times New Roman" w:hAnsi="Times New Roman" w:eastAsia="楷体" w:cs="Times New Roman"/>
          <w:color w:val="auto"/>
          <w:sz w:val="48"/>
          <w:szCs w:val="48"/>
          <w:highlight w:val="none"/>
        </w:rPr>
        <w:t>（污染影响类</w:t>
      </w:r>
      <w:r>
        <w:rPr>
          <w:rFonts w:hint="eastAsia" w:eastAsia="楷体" w:cs="Times New Roman"/>
          <w:color w:val="auto"/>
          <w:sz w:val="48"/>
          <w:szCs w:val="48"/>
          <w:highlight w:val="none"/>
          <w:lang w:val="en-US" w:eastAsia="zh-CN"/>
        </w:rPr>
        <w:t xml:space="preserve">  公示本</w:t>
      </w:r>
      <w:r>
        <w:rPr>
          <w:rFonts w:hint="default" w:ascii="Times New Roman" w:hAnsi="Times New Roman" w:eastAsia="楷体" w:cs="Times New Roman"/>
          <w:color w:val="auto"/>
          <w:sz w:val="48"/>
          <w:szCs w:val="48"/>
          <w:highlight w:val="none"/>
        </w:rPr>
        <w:t>）</w:t>
      </w:r>
    </w:p>
    <w:p>
      <w:pPr>
        <w:pageBreakBefore w:val="0"/>
        <w:kinsoku/>
        <w:wordWrap/>
        <w:bidi w:val="0"/>
        <w:spacing w:line="360" w:lineRule="auto"/>
        <w:ind w:left="0" w:leftChars="0" w:right="0"/>
        <w:jc w:val="center"/>
        <w:rPr>
          <w:rFonts w:hint="default" w:ascii="Times New Roman" w:hAnsi="Times New Roman" w:eastAsia="楷体" w:cs="Times New Roman"/>
          <w:color w:val="auto"/>
          <w:sz w:val="48"/>
          <w:szCs w:val="48"/>
          <w:highlight w:val="none"/>
          <w:lang w:eastAsia="zh-CN"/>
        </w:rPr>
      </w:pPr>
    </w:p>
    <w:p>
      <w:pPr>
        <w:pageBreakBefore w:val="0"/>
        <w:kinsoku/>
        <w:wordWrap/>
        <w:bidi w:val="0"/>
        <w:spacing w:line="360" w:lineRule="auto"/>
        <w:ind w:left="0" w:leftChars="0" w:right="0"/>
        <w:rPr>
          <w:rFonts w:hint="default" w:ascii="Times New Roman" w:hAnsi="Times New Roman" w:eastAsia="仿宋" w:cs="Times New Roman"/>
          <w:b/>
          <w:color w:val="auto"/>
          <w:sz w:val="36"/>
          <w:szCs w:val="36"/>
          <w:highlight w:val="none"/>
        </w:rPr>
      </w:pPr>
    </w:p>
    <w:p>
      <w:pPr>
        <w:pageBreakBefore w:val="0"/>
        <w:kinsoku/>
        <w:wordWrap/>
        <w:bidi w:val="0"/>
        <w:spacing w:line="360" w:lineRule="auto"/>
        <w:ind w:left="0" w:leftChars="0" w:right="0"/>
        <w:rPr>
          <w:rFonts w:hint="default" w:ascii="Times New Roman" w:hAnsi="Times New Roman" w:eastAsia="仿宋" w:cs="Times New Roman"/>
          <w:b/>
          <w:color w:val="auto"/>
          <w:sz w:val="36"/>
          <w:szCs w:val="36"/>
          <w:highlight w:val="none"/>
        </w:rPr>
      </w:pPr>
    </w:p>
    <w:p>
      <w:pPr>
        <w:pageBreakBefore w:val="0"/>
        <w:kinsoku/>
        <w:wordWrap/>
        <w:bidi w:val="0"/>
        <w:spacing w:line="360" w:lineRule="auto"/>
        <w:ind w:left="0" w:leftChars="0" w:right="0"/>
        <w:rPr>
          <w:rFonts w:hint="default" w:ascii="Times New Roman" w:hAnsi="Times New Roman" w:eastAsia="仿宋" w:cs="Times New Roman"/>
          <w:b/>
          <w:color w:val="auto"/>
          <w:sz w:val="36"/>
          <w:szCs w:val="36"/>
          <w:highlight w:val="none"/>
        </w:rPr>
      </w:pPr>
    </w:p>
    <w:p>
      <w:pPr>
        <w:pageBreakBefore w:val="0"/>
        <w:kinsoku/>
        <w:wordWrap/>
        <w:bidi w:val="0"/>
        <w:spacing w:line="360" w:lineRule="auto"/>
        <w:ind w:left="0" w:leftChars="0" w:right="0"/>
        <w:rPr>
          <w:rFonts w:hint="default" w:ascii="Times New Roman" w:hAnsi="Times New Roman" w:eastAsia="仿宋" w:cs="Times New Roman"/>
          <w:b/>
          <w:color w:val="auto"/>
          <w:sz w:val="36"/>
          <w:szCs w:val="36"/>
          <w:highlight w:val="none"/>
        </w:rPr>
      </w:pPr>
    </w:p>
    <w:p>
      <w:pPr>
        <w:pageBreakBefore w:val="0"/>
        <w:kinsoku/>
        <w:wordWrap/>
        <w:bidi w:val="0"/>
        <w:spacing w:line="360" w:lineRule="auto"/>
        <w:ind w:left="0" w:leftChars="0" w:right="0"/>
        <w:rPr>
          <w:rFonts w:hint="default" w:ascii="Times New Roman" w:hAnsi="Times New Roman" w:eastAsia="仿宋" w:cs="Times New Roman"/>
          <w:b/>
          <w:color w:val="auto"/>
          <w:sz w:val="36"/>
          <w:szCs w:val="36"/>
          <w:highlight w:val="none"/>
        </w:rPr>
      </w:pPr>
    </w:p>
    <w:p>
      <w:pPr>
        <w:pageBreakBefore w:val="0"/>
        <w:kinsoku/>
        <w:wordWrap/>
        <w:bidi w:val="0"/>
        <w:spacing w:line="360" w:lineRule="auto"/>
        <w:ind w:left="0" w:leftChars="0" w:right="0" w:firstLine="360" w:firstLineChars="100"/>
        <w:rPr>
          <w:rFonts w:hint="default" w:ascii="Times New Roman" w:hAnsi="Times New Roman" w:eastAsia="仿宋" w:cs="Times New Roman"/>
          <w:color w:val="auto"/>
          <w:sz w:val="36"/>
          <w:szCs w:val="36"/>
          <w:highlight w:val="none"/>
          <w:u w:val="single"/>
        </w:rPr>
      </w:pPr>
      <w:r>
        <w:rPr>
          <w:rFonts w:hint="default" w:ascii="Times New Roman" w:hAnsi="Times New Roman" w:eastAsia="仿宋" w:cs="Times New Roman"/>
          <w:color w:val="auto"/>
          <w:sz w:val="36"/>
          <w:szCs w:val="36"/>
          <w:highlight w:val="none"/>
        </w:rPr>
        <w:t>项目名称：</w:t>
      </w:r>
      <w:r>
        <w:rPr>
          <w:rFonts w:hint="default" w:ascii="Times New Roman" w:hAnsi="Times New Roman"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hint="eastAsia" w:eastAsia="仿宋" w:cs="Times New Roman"/>
          <w:color w:val="auto"/>
          <w:sz w:val="36"/>
          <w:szCs w:val="36"/>
          <w:highlight w:val="none"/>
          <w:u w:val="single"/>
          <w:lang w:eastAsia="zh-CN"/>
        </w:rPr>
        <w:t>宣汉同盛医院建设项目</w:t>
      </w:r>
      <w:r>
        <w:rPr>
          <w:rFonts w:hint="default" w:ascii="Times New Roman" w:hAnsi="Times New Roman"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p>
    <w:p>
      <w:pPr>
        <w:pageBreakBefore w:val="0"/>
        <w:kinsoku/>
        <w:wordWrap/>
        <w:bidi w:val="0"/>
        <w:spacing w:line="360" w:lineRule="auto"/>
        <w:ind w:left="0" w:leftChars="0" w:right="0" w:firstLine="360" w:firstLineChars="100"/>
        <w:rPr>
          <w:rFonts w:hint="default" w:ascii="Times New Roman" w:hAnsi="Times New Roman" w:eastAsia="仿宋" w:cs="Times New Roman"/>
          <w:color w:val="auto"/>
          <w:sz w:val="36"/>
          <w:szCs w:val="36"/>
          <w:highlight w:val="none"/>
          <w:u w:val="single"/>
        </w:rPr>
      </w:pPr>
      <w:r>
        <w:rPr>
          <w:rFonts w:hint="default" w:ascii="Times New Roman" w:hAnsi="Times New Roman" w:eastAsia="仿宋" w:cs="Times New Roman"/>
          <w:color w:val="auto"/>
          <w:sz w:val="36"/>
          <w:szCs w:val="36"/>
          <w:highlight w:val="none"/>
        </w:rPr>
        <w:t>建设单位（盖章）：</w:t>
      </w:r>
      <w:r>
        <w:rPr>
          <w:rFonts w:hint="default" w:ascii="Times New Roman" w:hAnsi="Times New Roman"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hint="eastAsia" w:eastAsia="仿宋" w:cs="Times New Roman"/>
          <w:color w:val="auto"/>
          <w:sz w:val="36"/>
          <w:szCs w:val="36"/>
          <w:highlight w:val="none"/>
          <w:u w:val="single"/>
          <w:lang w:eastAsia="zh-CN"/>
        </w:rPr>
        <w:t>宣汉同盛医院</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p>
    <w:p>
      <w:pPr>
        <w:pageBreakBefore w:val="0"/>
        <w:kinsoku/>
        <w:wordWrap/>
        <w:bidi w:val="0"/>
        <w:spacing w:line="360" w:lineRule="auto"/>
        <w:ind w:left="0" w:leftChars="0" w:right="0" w:firstLine="360" w:firstLineChars="100"/>
        <w:rPr>
          <w:rFonts w:hint="default" w:ascii="Times New Roman" w:hAnsi="Times New Roman" w:eastAsia="仿宋" w:cs="Times New Roman"/>
          <w:color w:val="auto"/>
          <w:sz w:val="36"/>
          <w:szCs w:val="36"/>
          <w:highlight w:val="none"/>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202</w:t>
      </w:r>
      <w:r>
        <w:rPr>
          <w:rFonts w:hint="eastAsia" w:eastAsia="仿宋" w:cs="Times New Roman"/>
          <w:color w:val="auto"/>
          <w:sz w:val="36"/>
          <w:szCs w:val="36"/>
          <w:highlight w:val="none"/>
          <w:u w:val="single"/>
          <w:lang w:val="en-US" w:eastAsia="zh-CN"/>
        </w:rPr>
        <w:t>3</w:t>
      </w:r>
      <w:r>
        <w:rPr>
          <w:rFonts w:hint="default" w:ascii="Times New Roman" w:hAnsi="Times New Roman" w:eastAsia="仿宋" w:cs="Times New Roman"/>
          <w:color w:val="auto"/>
          <w:sz w:val="36"/>
          <w:szCs w:val="36"/>
          <w:highlight w:val="none"/>
          <w:u w:val="single"/>
        </w:rPr>
        <w:t>年</w:t>
      </w:r>
      <w:r>
        <w:rPr>
          <w:rFonts w:hint="eastAsia" w:eastAsia="仿宋" w:cs="Times New Roman"/>
          <w:color w:val="auto"/>
          <w:sz w:val="36"/>
          <w:szCs w:val="36"/>
          <w:highlight w:val="none"/>
          <w:u w:val="single"/>
          <w:lang w:val="en-US" w:eastAsia="zh-CN"/>
        </w:rPr>
        <w:t>4</w:t>
      </w:r>
      <w:r>
        <w:rPr>
          <w:rFonts w:hint="default" w:ascii="Times New Roman" w:hAnsi="Times New Roman" w:eastAsia="仿宋" w:cs="Times New Roman"/>
          <w:color w:val="auto"/>
          <w:sz w:val="36"/>
          <w:szCs w:val="36"/>
          <w:highlight w:val="none"/>
          <w:u w:val="single"/>
        </w:rPr>
        <w:t xml:space="preserve">月       </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p>
    <w:p>
      <w:pPr>
        <w:pageBreakBefore w:val="0"/>
        <w:kinsoku/>
        <w:wordWrap/>
        <w:bidi w:val="0"/>
        <w:spacing w:line="360" w:lineRule="auto"/>
        <w:ind w:left="0" w:leftChars="0" w:right="0"/>
        <w:rPr>
          <w:rFonts w:hint="default" w:ascii="Times New Roman" w:hAnsi="Times New Roman" w:eastAsia="仿宋" w:cs="Times New Roman"/>
          <w:color w:val="auto"/>
          <w:sz w:val="36"/>
          <w:szCs w:val="36"/>
          <w:highlight w:val="none"/>
        </w:rPr>
      </w:pPr>
    </w:p>
    <w:p>
      <w:pPr>
        <w:pageBreakBefore w:val="0"/>
        <w:kinsoku/>
        <w:wordWrap/>
        <w:bidi w:val="0"/>
        <w:spacing w:line="360" w:lineRule="auto"/>
        <w:ind w:left="0" w:leftChars="0" w:right="0"/>
        <w:rPr>
          <w:rFonts w:hint="default" w:ascii="Times New Roman" w:hAnsi="Times New Roman" w:eastAsia="仿宋" w:cs="Times New Roman"/>
          <w:color w:val="auto"/>
          <w:sz w:val="36"/>
          <w:szCs w:val="36"/>
          <w:highlight w:val="none"/>
        </w:rPr>
      </w:pPr>
    </w:p>
    <w:p>
      <w:pPr>
        <w:pageBreakBefore w:val="0"/>
        <w:kinsoku/>
        <w:wordWrap/>
        <w:bidi w:val="0"/>
        <w:spacing w:line="360" w:lineRule="auto"/>
        <w:ind w:left="0" w:leftChars="0" w:right="0"/>
        <w:rPr>
          <w:rFonts w:hint="default" w:ascii="Times New Roman" w:hAnsi="Times New Roman" w:eastAsia="仿宋" w:cs="Times New Roman"/>
          <w:color w:val="auto"/>
          <w:sz w:val="36"/>
          <w:szCs w:val="36"/>
          <w:highlight w:val="none"/>
        </w:rPr>
      </w:pPr>
    </w:p>
    <w:p>
      <w:pPr>
        <w:pageBreakBefore w:val="0"/>
        <w:kinsoku/>
        <w:wordWrap/>
        <w:bidi w:val="0"/>
        <w:spacing w:line="360" w:lineRule="auto"/>
        <w:ind w:left="0" w:leftChars="0" w:right="0"/>
        <w:rPr>
          <w:rFonts w:hint="default" w:ascii="Times New Roman" w:hAnsi="Times New Roman" w:eastAsia="仿宋" w:cs="Times New Roman"/>
          <w:color w:val="auto"/>
          <w:sz w:val="36"/>
          <w:szCs w:val="36"/>
          <w:highlight w:val="none"/>
        </w:rPr>
      </w:pPr>
    </w:p>
    <w:p>
      <w:pPr>
        <w:pageBreakBefore w:val="0"/>
        <w:kinsoku/>
        <w:wordWrap/>
        <w:bidi w:val="0"/>
        <w:spacing w:line="360" w:lineRule="auto"/>
        <w:ind w:left="0" w:leftChars="0" w:right="0"/>
        <w:jc w:val="center"/>
        <w:rPr>
          <w:rFonts w:hint="default" w:ascii="Times New Roman" w:hAnsi="Times New Roman" w:eastAsia="楷体" w:cs="Times New Roman"/>
          <w:color w:val="auto"/>
          <w:sz w:val="36"/>
          <w:szCs w:val="36"/>
          <w:highlight w:val="none"/>
        </w:rPr>
      </w:pPr>
    </w:p>
    <w:p>
      <w:pPr>
        <w:pageBreakBefore w:val="0"/>
        <w:kinsoku/>
        <w:wordWrap/>
        <w:bidi w:val="0"/>
        <w:spacing w:line="360" w:lineRule="auto"/>
        <w:ind w:left="0" w:leftChars="0" w:right="0"/>
        <w:jc w:val="center"/>
        <w:rPr>
          <w:rFonts w:hint="default" w:ascii="Times New Roman" w:hAnsi="Times New Roman" w:eastAsia="楷体" w:cs="Times New Roman"/>
          <w:color w:val="auto"/>
          <w:sz w:val="36"/>
          <w:szCs w:val="36"/>
          <w:highlight w:val="none"/>
        </w:rPr>
      </w:pPr>
      <w:r>
        <w:rPr>
          <w:rFonts w:hint="default" w:ascii="Times New Roman" w:hAnsi="Times New Roman" w:eastAsia="楷体" w:cs="Times New Roman"/>
          <w:color w:val="auto"/>
          <w:sz w:val="36"/>
          <w:szCs w:val="36"/>
          <w:highlight w:val="none"/>
        </w:rPr>
        <w:t>中华人民共和国生态环境部制</w:t>
      </w:r>
    </w:p>
    <w:p>
      <w:pPr>
        <w:pageBreakBefore w:val="0"/>
        <w:kinsoku/>
        <w:wordWrap/>
        <w:bidi w:val="0"/>
        <w:spacing w:line="360" w:lineRule="auto"/>
        <w:ind w:left="0" w:leftChars="0" w:right="0"/>
        <w:rPr>
          <w:rFonts w:hint="default" w:ascii="Times New Roman" w:hAnsi="Times New Roman" w:cs="Times New Roman"/>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0"/>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一、建设项目基本情况</w:t>
      </w:r>
    </w:p>
    <w:tbl>
      <w:tblPr>
        <w:tblStyle w:val="21"/>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821"/>
        <w:gridCol w:w="2114"/>
        <w:gridCol w:w="2145"/>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建设项目名称</w:t>
            </w:r>
          </w:p>
        </w:tc>
        <w:tc>
          <w:tcPr>
            <w:tcW w:w="3769" w:type="pct"/>
            <w:gridSpan w:val="3"/>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宋体" w:cs="Times New Roman"/>
                <w:color w:val="auto"/>
                <w:sz w:val="24"/>
                <w:szCs w:val="36"/>
                <w:highlight w:val="none"/>
                <w:vertAlign w:val="baseline"/>
                <w:lang w:eastAsia="zh-CN"/>
              </w:rPr>
            </w:pPr>
            <w:r>
              <w:rPr>
                <w:rFonts w:hint="eastAsia" w:cs="Times New Roman"/>
                <w:color w:val="auto"/>
                <w:sz w:val="24"/>
                <w:szCs w:val="36"/>
                <w:highlight w:val="none"/>
                <w:vertAlign w:val="baseline"/>
                <w:lang w:eastAsia="zh-CN"/>
              </w:rPr>
              <w:t>宣汉同盛医院建设项目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项目代码</w:t>
            </w:r>
          </w:p>
        </w:tc>
        <w:tc>
          <w:tcPr>
            <w:tcW w:w="3769" w:type="pct"/>
            <w:gridSpan w:val="3"/>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ascii="Times New Roman" w:hAnsi="Times New Roman" w:eastAsia="宋体" w:cs="Times New Roman"/>
                <w:color w:val="auto"/>
                <w:sz w:val="24"/>
                <w:szCs w:val="36"/>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建设单位联系人</w:t>
            </w:r>
          </w:p>
        </w:tc>
        <w:tc>
          <w:tcPr>
            <w:tcW w:w="108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唐**</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联系方式</w:t>
            </w:r>
          </w:p>
        </w:tc>
        <w:tc>
          <w:tcPr>
            <w:tcW w:w="158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133****5559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建设地点</w:t>
            </w:r>
          </w:p>
        </w:tc>
        <w:tc>
          <w:tcPr>
            <w:tcW w:w="3769"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u w:val="single"/>
                <w:lang w:val="en-US" w:eastAsia="zh-CN"/>
              </w:rPr>
              <w:t>四川</w:t>
            </w:r>
            <w:r>
              <w:rPr>
                <w:rFonts w:hint="eastAsia" w:cs="Times New Roman"/>
                <w:color w:val="auto"/>
                <w:sz w:val="24"/>
                <w:szCs w:val="24"/>
                <w:highlight w:val="none"/>
                <w:lang w:val="en-US" w:eastAsia="zh-CN"/>
              </w:rPr>
              <w:t>省</w:t>
            </w:r>
            <w:r>
              <w:rPr>
                <w:rFonts w:hint="eastAsia" w:cs="Times New Roman"/>
                <w:color w:val="auto"/>
                <w:sz w:val="24"/>
                <w:szCs w:val="24"/>
                <w:highlight w:val="none"/>
                <w:u w:val="single"/>
                <w:lang w:val="en-US" w:eastAsia="zh-CN"/>
              </w:rPr>
              <w:t>达州</w:t>
            </w:r>
            <w:r>
              <w:rPr>
                <w:rFonts w:hint="eastAsia" w:cs="Times New Roman"/>
                <w:color w:val="auto"/>
                <w:sz w:val="24"/>
                <w:szCs w:val="24"/>
                <w:highlight w:val="none"/>
                <w:lang w:val="en-US" w:eastAsia="zh-CN"/>
              </w:rPr>
              <w:t>市</w:t>
            </w:r>
            <w:r>
              <w:rPr>
                <w:rFonts w:hint="eastAsia" w:cs="Times New Roman"/>
                <w:color w:val="auto"/>
                <w:sz w:val="24"/>
                <w:szCs w:val="24"/>
                <w:highlight w:val="none"/>
                <w:u w:val="single"/>
                <w:lang w:val="en-US" w:eastAsia="zh-CN"/>
              </w:rPr>
              <w:t>宣汉</w:t>
            </w:r>
            <w:r>
              <w:rPr>
                <w:rFonts w:hint="eastAsia" w:cs="Times New Roman"/>
                <w:color w:val="auto"/>
                <w:sz w:val="24"/>
                <w:szCs w:val="24"/>
                <w:highlight w:val="none"/>
                <w:lang w:val="en-US" w:eastAsia="zh-CN"/>
              </w:rPr>
              <w:t>县蒲江街道骏杰汽贸园二号楼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地理坐标</w:t>
            </w:r>
          </w:p>
        </w:tc>
        <w:tc>
          <w:tcPr>
            <w:tcW w:w="3769"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rPr>
              <w:t>经度：</w:t>
            </w:r>
            <w:r>
              <w:rPr>
                <w:rFonts w:hint="eastAsia" w:ascii="Times New Roman" w:hAnsi="Times New Roman" w:cs="Times New Roman"/>
                <w:color w:val="auto"/>
                <w:sz w:val="24"/>
                <w:szCs w:val="24"/>
                <w:highlight w:val="none"/>
                <w:u w:val="single"/>
                <w:lang w:val="en-US" w:eastAsia="zh-CN"/>
              </w:rPr>
              <w:t>107</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42</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33.640</w:t>
            </w:r>
            <w:r>
              <w:rPr>
                <w:rFonts w:hint="default" w:ascii="Times New Roman" w:hAnsi="Times New Roman" w:cs="Times New Roman"/>
                <w:color w:val="auto"/>
                <w:sz w:val="24"/>
                <w:szCs w:val="24"/>
                <w:highlight w:val="none"/>
              </w:rPr>
              <w:t>秒</w:t>
            </w:r>
            <w:r>
              <w:rPr>
                <w:rFonts w:hint="eastAsia" w:ascii="Times New Roman" w:hAnsi="Times New Roman" w:cs="Times New Roman"/>
                <w:color w:val="auto"/>
                <w:sz w:val="24"/>
                <w:szCs w:val="24"/>
                <w:highlight w:val="none"/>
              </w:rPr>
              <w:t>；纬度：</w:t>
            </w:r>
            <w:r>
              <w:rPr>
                <w:rFonts w:hint="eastAsia" w:ascii="Times New Roman" w:hAnsi="Times New Roman" w:cs="Times New Roman"/>
                <w:color w:val="auto"/>
                <w:sz w:val="24"/>
                <w:szCs w:val="24"/>
                <w:highlight w:val="none"/>
                <w:u w:val="single"/>
                <w:lang w:val="en-US" w:eastAsia="zh-CN"/>
              </w:rPr>
              <w:t>31</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22</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15.000</w:t>
            </w:r>
            <w:r>
              <w:rPr>
                <w:rFonts w:hint="default" w:ascii="Times New Roman" w:hAnsi="Times New Roman" w:cs="Times New Roman"/>
                <w:color w:val="auto"/>
                <w:sz w:val="24"/>
                <w:szCs w:val="24"/>
                <w:highlight w:val="non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国民经济行业类别</w:t>
            </w:r>
          </w:p>
        </w:tc>
        <w:tc>
          <w:tcPr>
            <w:tcW w:w="108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bCs/>
                <w:color w:val="auto"/>
                <w:sz w:val="24"/>
                <w:highlight w:val="none"/>
                <w:lang w:val="en-US" w:eastAsia="zh-CN" w:bidi="en-US"/>
              </w:rPr>
              <w:t>Q8411综合医院</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建设项目行业类别</w:t>
            </w:r>
          </w:p>
        </w:tc>
        <w:tc>
          <w:tcPr>
            <w:tcW w:w="158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四十九、卫生/108医院841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建设性质</w:t>
            </w:r>
          </w:p>
        </w:tc>
        <w:tc>
          <w:tcPr>
            <w:tcW w:w="108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新建（迁建）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改建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扩建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color w:val="auto"/>
                <w:sz w:val="24"/>
                <w:szCs w:val="36"/>
                <w:highlight w:val="none"/>
                <w:vertAlign w:val="baseline"/>
                <w:lang w:eastAsia="zh-CN"/>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技术改造</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sz w:val="24"/>
                <w:szCs w:val="36"/>
                <w:highlight w:val="none"/>
                <w:vertAlign w:val="baseline"/>
                <w:lang w:eastAsia="zh-CN"/>
              </w:rPr>
            </w:pPr>
            <w:r>
              <w:rPr>
                <w:rFonts w:hint="default" w:ascii="Times New Roman" w:hAnsi="Times New Roman" w:cs="Times New Roman"/>
                <w:color w:val="auto"/>
                <w:sz w:val="24"/>
                <w:szCs w:val="24"/>
                <w:highlight w:val="none"/>
              </w:rPr>
              <w:t>申报情形</w:t>
            </w:r>
          </w:p>
        </w:tc>
        <w:tc>
          <w:tcPr>
            <w:tcW w:w="158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首次申报项目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不予批准后再次申报项目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超五年重新审核项目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color w:val="auto"/>
                <w:sz w:val="24"/>
                <w:szCs w:val="36"/>
                <w:highlight w:val="none"/>
                <w:vertAlign w:val="baseline"/>
                <w:lang w:eastAsia="zh-CN"/>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项目审批（核准/备案）部门（选填）</w:t>
            </w:r>
          </w:p>
        </w:tc>
        <w:tc>
          <w:tcPr>
            <w:tcW w:w="1084" w:type="pct"/>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w:t>
            </w:r>
          </w:p>
        </w:tc>
        <w:tc>
          <w:tcPr>
            <w:tcW w:w="1100" w:type="pct"/>
            <w:vAlign w:val="center"/>
          </w:tcPr>
          <w:p>
            <w:pPr>
              <w:pageBreakBefore w:val="0"/>
              <w:kinsoku/>
              <w:wordWrap/>
              <w:bidi w:val="0"/>
              <w:spacing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pPr>
              <w:pageBreakBefore w:val="0"/>
              <w:kinsoku/>
              <w:wordWrap/>
              <w:bidi w:val="0"/>
              <w:spacing w:line="360" w:lineRule="auto"/>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备案）文号（选填）</w:t>
            </w:r>
          </w:p>
        </w:tc>
        <w:tc>
          <w:tcPr>
            <w:tcW w:w="1585" w:type="pct"/>
            <w:vAlign w:val="center"/>
          </w:tcPr>
          <w:p>
            <w:pPr>
              <w:pageBreakBefore w:val="0"/>
              <w:kinsoku/>
              <w:wordWrap/>
              <w:bidi w:val="0"/>
              <w:spacing w:line="360" w:lineRule="auto"/>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总投资（万元）</w:t>
            </w:r>
          </w:p>
        </w:tc>
        <w:tc>
          <w:tcPr>
            <w:tcW w:w="1084" w:type="pct"/>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1000</w:t>
            </w:r>
          </w:p>
        </w:tc>
        <w:tc>
          <w:tcPr>
            <w:tcW w:w="1100" w:type="pct"/>
            <w:vAlign w:val="center"/>
          </w:tcPr>
          <w:p>
            <w:pPr>
              <w:pageBreakBefore w:val="0"/>
              <w:kinsoku/>
              <w:wordWrap/>
              <w:bidi w:val="0"/>
              <w:spacing w:line="360" w:lineRule="auto"/>
              <w:ind w:left="0" w:leftChars="0" w:right="0" w:rightChars="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环保投资（万元）</w:t>
            </w:r>
          </w:p>
        </w:tc>
        <w:tc>
          <w:tcPr>
            <w:tcW w:w="1585" w:type="pct"/>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197.52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环保投资占比（%）</w:t>
            </w:r>
          </w:p>
        </w:tc>
        <w:tc>
          <w:tcPr>
            <w:tcW w:w="1084" w:type="pct"/>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19.75</w:t>
            </w:r>
          </w:p>
        </w:tc>
        <w:tc>
          <w:tcPr>
            <w:tcW w:w="1100" w:type="pct"/>
            <w:vAlign w:val="center"/>
          </w:tcPr>
          <w:p>
            <w:pPr>
              <w:pageBreakBefore w:val="0"/>
              <w:kinsoku/>
              <w:wordWrap/>
              <w:bidi w:val="0"/>
              <w:spacing w:line="360" w:lineRule="auto"/>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施工工期</w:t>
            </w:r>
          </w:p>
        </w:tc>
        <w:tc>
          <w:tcPr>
            <w:tcW w:w="1585" w:type="pct"/>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是否开工建设</w:t>
            </w:r>
          </w:p>
        </w:tc>
        <w:tc>
          <w:tcPr>
            <w:tcW w:w="1084" w:type="pct"/>
          </w:tcPr>
          <w:p>
            <w:pPr>
              <w:pageBreakBefore w:val="0"/>
              <w:kinsoku/>
              <w:wordWrap/>
              <w:bidi w:val="0"/>
              <w:spacing w:line="360" w:lineRule="auto"/>
              <w:ind w:left="0" w:leftChars="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否</w:t>
            </w:r>
          </w:p>
          <w:p>
            <w:pPr>
              <w:pStyle w:val="10"/>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Times New Roman" w:hAnsi="Times New Roman" w:eastAsia="宋体" w:cs="Times New Roman"/>
                <w:color w:val="auto"/>
                <w:sz w:val="24"/>
                <w:szCs w:val="36"/>
                <w:highlight w:val="none"/>
                <w:vertAlign w:val="baseline"/>
                <w:lang w:eastAsia="zh-CN"/>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是</w:t>
            </w:r>
            <w:r>
              <w:rPr>
                <w:rFonts w:hint="eastAsia" w:cs="Times New Roman"/>
                <w:color w:val="auto"/>
                <w:sz w:val="24"/>
                <w:szCs w:val="24"/>
                <w:highlight w:val="none"/>
                <w:lang w:eastAsia="zh-CN"/>
              </w:rPr>
              <w:t>：</w:t>
            </w:r>
          </w:p>
        </w:tc>
        <w:tc>
          <w:tcPr>
            <w:tcW w:w="1100" w:type="pct"/>
            <w:vAlign w:val="center"/>
          </w:tcPr>
          <w:p>
            <w:pPr>
              <w:pageBreakBefore w:val="0"/>
              <w:kinsoku/>
              <w:wordWrap/>
              <w:bidi w:val="0"/>
              <w:spacing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用地（用海）</w:t>
            </w:r>
          </w:p>
          <w:p>
            <w:pPr>
              <w:pageBreakBefore w:val="0"/>
              <w:kinsoku/>
              <w:wordWrap/>
              <w:bidi w:val="0"/>
              <w:spacing w:line="360" w:lineRule="auto"/>
              <w:ind w:left="0" w:leftChars="0" w:right="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面积（m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tc>
        <w:tc>
          <w:tcPr>
            <w:tcW w:w="1585" w:type="pct"/>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专项评价设置情况</w:t>
            </w:r>
          </w:p>
        </w:tc>
        <w:tc>
          <w:tcPr>
            <w:tcW w:w="3769" w:type="pct"/>
            <w:gridSpan w:val="3"/>
          </w:tcPr>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bCs/>
                <w:color w:val="auto"/>
                <w:sz w:val="24"/>
                <w:szCs w:val="36"/>
                <w:highlight w:val="none"/>
                <w:vertAlign w:val="baseline"/>
                <w:lang w:eastAsia="zh-CN"/>
              </w:rPr>
            </w:pPr>
            <w:r>
              <w:rPr>
                <w:rFonts w:hint="eastAsia" w:ascii="Times New Roman" w:hAnsi="Times New Roman" w:eastAsia="宋体" w:cs="Times New Roman"/>
                <w:b/>
                <w:bCs/>
                <w:color w:val="auto"/>
                <w:sz w:val="24"/>
                <w:szCs w:val="36"/>
                <w:highlight w:val="none"/>
                <w:vertAlign w:val="baseline"/>
                <w:lang w:eastAsia="zh-CN"/>
              </w:rPr>
              <w:t>无。</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auto"/>
                <w:sz w:val="24"/>
                <w:szCs w:val="36"/>
                <w:highlight w:val="none"/>
                <w:vertAlign w:val="baseline"/>
                <w:lang w:eastAsia="zh-CN"/>
              </w:rPr>
            </w:pPr>
            <w:r>
              <w:rPr>
                <w:rFonts w:hint="eastAsia" w:ascii="Times New Roman" w:hAnsi="Times New Roman" w:eastAsia="宋体" w:cs="Times New Roman"/>
                <w:color w:val="auto"/>
                <w:sz w:val="24"/>
                <w:szCs w:val="36"/>
                <w:highlight w:val="none"/>
                <w:vertAlign w:val="baseline"/>
                <w:lang w:eastAsia="zh-CN"/>
              </w:rPr>
              <w:t>本项目专项评价设置情况见下表。</w:t>
            </w: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黑体" w:hAnsi="黑体" w:eastAsia="黑体" w:cs="黑体"/>
                <w:b w:val="0"/>
                <w:bCs/>
                <w:color w:val="auto"/>
                <w:kern w:val="2"/>
                <w:sz w:val="21"/>
                <w:szCs w:val="18"/>
                <w:highlight w:val="none"/>
                <w:lang w:val="en-US" w:eastAsia="zh-CN" w:bidi="en-US"/>
              </w:rPr>
            </w:pPr>
            <w:r>
              <w:rPr>
                <w:rFonts w:hint="eastAsia" w:ascii="黑体" w:hAnsi="黑体" w:eastAsia="黑体" w:cs="黑体"/>
                <w:b w:val="0"/>
                <w:bCs/>
                <w:color w:val="auto"/>
                <w:kern w:val="2"/>
                <w:sz w:val="21"/>
                <w:szCs w:val="18"/>
                <w:highlight w:val="none"/>
                <w:lang w:val="en-US" w:eastAsia="zh-CN" w:bidi="en-US"/>
              </w:rPr>
              <w:t>表1-1 本项目专项评价设置情况</w:t>
            </w:r>
          </w:p>
          <w:tbl>
            <w:tblPr>
              <w:tblStyle w:val="20"/>
              <w:tblW w:w="7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068"/>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787" w:type="pct"/>
                  <w:noWrap w:val="0"/>
                  <w:vAlign w:val="center"/>
                </w:tcPr>
                <w:p>
                  <w:pPr>
                    <w:spacing w:line="240" w:lineRule="auto"/>
                    <w:jc w:val="center"/>
                    <w:rPr>
                      <w:rFonts w:hint="eastAsia"/>
                      <w:b/>
                      <w:bCs/>
                      <w:color w:val="auto"/>
                      <w:szCs w:val="21"/>
                      <w:highlight w:val="none"/>
                    </w:rPr>
                  </w:pPr>
                  <w:r>
                    <w:rPr>
                      <w:rFonts w:hint="eastAsia"/>
                      <w:b/>
                      <w:bCs/>
                      <w:color w:val="auto"/>
                      <w:szCs w:val="21"/>
                      <w:highlight w:val="none"/>
                    </w:rPr>
                    <w:t>专项</w:t>
                  </w:r>
                  <w:r>
                    <w:rPr>
                      <w:b/>
                      <w:bCs/>
                      <w:color w:val="auto"/>
                      <w:szCs w:val="21"/>
                      <w:highlight w:val="none"/>
                    </w:rPr>
                    <w:t>评价的类别</w:t>
                  </w:r>
                </w:p>
              </w:tc>
              <w:tc>
                <w:tcPr>
                  <w:tcW w:w="2132" w:type="pct"/>
                  <w:noWrap w:val="0"/>
                  <w:vAlign w:val="center"/>
                </w:tcPr>
                <w:p>
                  <w:pPr>
                    <w:spacing w:line="240" w:lineRule="auto"/>
                    <w:jc w:val="center"/>
                    <w:rPr>
                      <w:b/>
                      <w:bCs/>
                      <w:color w:val="auto"/>
                      <w:szCs w:val="21"/>
                      <w:highlight w:val="none"/>
                    </w:rPr>
                  </w:pPr>
                  <w:r>
                    <w:rPr>
                      <w:rFonts w:hint="eastAsia"/>
                      <w:b/>
                      <w:bCs/>
                      <w:color w:val="auto"/>
                      <w:szCs w:val="21"/>
                      <w:highlight w:val="none"/>
                    </w:rPr>
                    <w:t>设置原则</w:t>
                  </w:r>
                </w:p>
              </w:tc>
              <w:tc>
                <w:tcPr>
                  <w:tcW w:w="2080" w:type="pct"/>
                  <w:noWrap w:val="0"/>
                  <w:vAlign w:val="center"/>
                </w:tcPr>
                <w:p>
                  <w:pPr>
                    <w:spacing w:line="240" w:lineRule="auto"/>
                    <w:jc w:val="center"/>
                    <w:rPr>
                      <w:rFonts w:hint="eastAsia"/>
                      <w:b/>
                      <w:bCs/>
                      <w:color w:val="auto"/>
                      <w:szCs w:val="21"/>
                      <w:highlight w:val="none"/>
                    </w:rPr>
                  </w:pPr>
                  <w:r>
                    <w:rPr>
                      <w:rFonts w:hint="eastAsia"/>
                      <w:b/>
                      <w:bCs/>
                      <w:color w:val="auto"/>
                      <w:szCs w:val="21"/>
                      <w:highlight w:val="none"/>
                    </w:rPr>
                    <w:t>本项目</w:t>
                  </w:r>
                  <w:r>
                    <w:rPr>
                      <w:b/>
                      <w:bCs/>
                      <w:color w:val="auto"/>
                      <w:szCs w:val="21"/>
                      <w:highlight w:val="none"/>
                    </w:rPr>
                    <w:t>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noWrap w:val="0"/>
                  <w:vAlign w:val="center"/>
                </w:tcPr>
                <w:p>
                  <w:pPr>
                    <w:spacing w:line="240" w:lineRule="auto"/>
                    <w:jc w:val="center"/>
                    <w:rPr>
                      <w:color w:val="auto"/>
                      <w:szCs w:val="21"/>
                      <w:highlight w:val="none"/>
                    </w:rPr>
                  </w:pPr>
                  <w:r>
                    <w:rPr>
                      <w:rFonts w:hint="eastAsia"/>
                      <w:color w:val="auto"/>
                      <w:szCs w:val="21"/>
                      <w:highlight w:val="none"/>
                    </w:rPr>
                    <w:t>大气</w:t>
                  </w:r>
                </w:p>
              </w:tc>
              <w:tc>
                <w:tcPr>
                  <w:tcW w:w="2132" w:type="pct"/>
                  <w:noWrap w:val="0"/>
                  <w:vAlign w:val="center"/>
                </w:tcPr>
                <w:p>
                  <w:pPr>
                    <w:spacing w:line="240" w:lineRule="auto"/>
                    <w:jc w:val="center"/>
                    <w:rPr>
                      <w:rFonts w:hint="eastAsia"/>
                      <w:color w:val="auto"/>
                      <w:szCs w:val="21"/>
                      <w:highlight w:val="none"/>
                    </w:rPr>
                  </w:pPr>
                  <w:r>
                    <w:rPr>
                      <w:rFonts w:hint="eastAsia"/>
                      <w:color w:val="auto"/>
                      <w:szCs w:val="21"/>
                      <w:highlight w:val="none"/>
                    </w:rPr>
                    <w:t>排放</w:t>
                  </w:r>
                  <w:r>
                    <w:rPr>
                      <w:color w:val="auto"/>
                      <w:szCs w:val="21"/>
                      <w:highlight w:val="none"/>
                    </w:rPr>
                    <w:t>废气含</w:t>
                  </w:r>
                  <w:r>
                    <w:rPr>
                      <w:rFonts w:hint="eastAsia"/>
                      <w:color w:val="auto"/>
                      <w:szCs w:val="21"/>
                      <w:highlight w:val="none"/>
                    </w:rPr>
                    <w:t>有毒有害</w:t>
                  </w:r>
                  <w:r>
                    <w:rPr>
                      <w:color w:val="auto"/>
                      <w:szCs w:val="21"/>
                      <w:highlight w:val="none"/>
                    </w:rPr>
                    <w:t>污染物</w:t>
                  </w:r>
                  <w:r>
                    <w:rPr>
                      <w:rFonts w:hint="eastAsia"/>
                      <w:color w:val="auto"/>
                      <w:szCs w:val="21"/>
                      <w:highlight w:val="none"/>
                      <w:vertAlign w:val="superscript"/>
                    </w:rPr>
                    <w:t>1</w:t>
                  </w:r>
                  <w:r>
                    <w:rPr>
                      <w:color w:val="auto"/>
                      <w:szCs w:val="21"/>
                      <w:highlight w:val="none"/>
                    </w:rPr>
                    <w:t>、二噁英、苯并</w:t>
                  </w:r>
                  <w:r>
                    <w:rPr>
                      <w:rFonts w:hint="eastAsia"/>
                      <w:color w:val="auto"/>
                      <w:szCs w:val="21"/>
                      <w:highlight w:val="none"/>
                      <w:lang w:eastAsia="zh-CN"/>
                    </w:rPr>
                    <w:t>〔</w:t>
                  </w:r>
                  <w:r>
                    <w:rPr>
                      <w:color w:val="auto"/>
                      <w:szCs w:val="21"/>
                      <w:highlight w:val="none"/>
                    </w:rPr>
                    <w:t>a</w:t>
                  </w:r>
                  <w:r>
                    <w:rPr>
                      <w:rFonts w:hint="eastAsia"/>
                      <w:color w:val="auto"/>
                      <w:szCs w:val="21"/>
                      <w:highlight w:val="none"/>
                      <w:lang w:eastAsia="zh-CN"/>
                    </w:rPr>
                    <w:t>〕</w:t>
                  </w:r>
                  <w:r>
                    <w:rPr>
                      <w:color w:val="auto"/>
                      <w:szCs w:val="21"/>
                      <w:highlight w:val="none"/>
                    </w:rPr>
                    <w:t>芘</w:t>
                  </w:r>
                  <w:r>
                    <w:rPr>
                      <w:rFonts w:hint="eastAsia"/>
                      <w:color w:val="auto"/>
                      <w:szCs w:val="21"/>
                      <w:highlight w:val="none"/>
                    </w:rPr>
                    <w:t>、氰化物</w:t>
                  </w:r>
                  <w:r>
                    <w:rPr>
                      <w:color w:val="auto"/>
                      <w:szCs w:val="21"/>
                      <w:highlight w:val="none"/>
                    </w:rPr>
                    <w:t>、氯气且厂界外</w:t>
                  </w:r>
                  <w:r>
                    <w:rPr>
                      <w:rFonts w:hint="eastAsia"/>
                      <w:color w:val="auto"/>
                      <w:szCs w:val="21"/>
                      <w:highlight w:val="none"/>
                    </w:rPr>
                    <w:t>500米</w:t>
                  </w:r>
                  <w:r>
                    <w:rPr>
                      <w:color w:val="auto"/>
                      <w:szCs w:val="21"/>
                      <w:highlight w:val="none"/>
                    </w:rPr>
                    <w:t>范围内</w:t>
                  </w:r>
                  <w:r>
                    <w:rPr>
                      <w:rFonts w:hint="eastAsia"/>
                      <w:color w:val="auto"/>
                      <w:szCs w:val="21"/>
                      <w:highlight w:val="none"/>
                    </w:rPr>
                    <w:t>有</w:t>
                  </w:r>
                  <w:r>
                    <w:rPr>
                      <w:color w:val="auto"/>
                      <w:szCs w:val="21"/>
                      <w:highlight w:val="none"/>
                    </w:rPr>
                    <w:t>环境空气保护目标</w:t>
                  </w:r>
                  <w:r>
                    <w:rPr>
                      <w:rFonts w:hint="eastAsia"/>
                      <w:color w:val="auto"/>
                      <w:szCs w:val="21"/>
                      <w:highlight w:val="none"/>
                      <w:vertAlign w:val="superscript"/>
                    </w:rPr>
                    <w:t>2</w:t>
                  </w:r>
                  <w:r>
                    <w:rPr>
                      <w:color w:val="auto"/>
                      <w:szCs w:val="21"/>
                      <w:highlight w:val="none"/>
                    </w:rPr>
                    <w:t>的建设项目</w:t>
                  </w:r>
                </w:p>
              </w:tc>
              <w:tc>
                <w:tcPr>
                  <w:tcW w:w="2080" w:type="pct"/>
                  <w:noWrap w:val="0"/>
                  <w:vAlign w:val="center"/>
                </w:tcPr>
                <w:p>
                  <w:pPr>
                    <w:spacing w:line="240" w:lineRule="auto"/>
                    <w:jc w:val="center"/>
                    <w:rPr>
                      <w:rFonts w:hint="eastAsia"/>
                      <w:color w:val="auto"/>
                      <w:szCs w:val="21"/>
                      <w:highlight w:val="none"/>
                    </w:rPr>
                  </w:pPr>
                  <w:r>
                    <w:rPr>
                      <w:rFonts w:hint="eastAsia"/>
                      <w:color w:val="auto"/>
                      <w:szCs w:val="21"/>
                      <w:highlight w:val="none"/>
                    </w:rPr>
                    <w:t>本项目</w:t>
                  </w:r>
                  <w:r>
                    <w:rPr>
                      <w:color w:val="auto"/>
                      <w:szCs w:val="21"/>
                      <w:highlight w:val="none"/>
                    </w:rPr>
                    <w:t>不涉及</w:t>
                  </w:r>
                  <w:r>
                    <w:rPr>
                      <w:rFonts w:hint="eastAsia"/>
                      <w:color w:val="auto"/>
                      <w:szCs w:val="21"/>
                      <w:highlight w:val="none"/>
                    </w:rPr>
                    <w:t>有毒有害</w:t>
                  </w:r>
                  <w:r>
                    <w:rPr>
                      <w:color w:val="auto"/>
                      <w:szCs w:val="21"/>
                      <w:highlight w:val="none"/>
                    </w:rPr>
                    <w:t>污染物、二噁英、苯并</w:t>
                  </w:r>
                  <w:r>
                    <w:rPr>
                      <w:rFonts w:hint="eastAsia"/>
                      <w:color w:val="auto"/>
                      <w:szCs w:val="21"/>
                      <w:highlight w:val="none"/>
                      <w:lang w:eastAsia="zh-CN"/>
                    </w:rPr>
                    <w:t>〔</w:t>
                  </w:r>
                  <w:r>
                    <w:rPr>
                      <w:color w:val="auto"/>
                      <w:szCs w:val="21"/>
                      <w:highlight w:val="none"/>
                    </w:rPr>
                    <w:t>a</w:t>
                  </w:r>
                  <w:r>
                    <w:rPr>
                      <w:rFonts w:hint="eastAsia"/>
                      <w:color w:val="auto"/>
                      <w:szCs w:val="21"/>
                      <w:highlight w:val="none"/>
                      <w:lang w:eastAsia="zh-CN"/>
                    </w:rPr>
                    <w:t>〕</w:t>
                  </w:r>
                  <w:r>
                    <w:rPr>
                      <w:color w:val="auto"/>
                      <w:szCs w:val="21"/>
                      <w:highlight w:val="none"/>
                    </w:rPr>
                    <w:t>芘</w:t>
                  </w:r>
                  <w:r>
                    <w:rPr>
                      <w:rFonts w:hint="eastAsia"/>
                      <w:color w:val="auto"/>
                      <w:szCs w:val="21"/>
                      <w:highlight w:val="none"/>
                    </w:rPr>
                    <w:t>、氰化物</w:t>
                  </w:r>
                  <w:r>
                    <w:rPr>
                      <w:color w:val="auto"/>
                      <w:szCs w:val="21"/>
                      <w:highlight w:val="none"/>
                    </w:rPr>
                    <w:t>、氯气</w:t>
                  </w:r>
                  <w:r>
                    <w:rPr>
                      <w:rFonts w:hint="eastAsia"/>
                      <w:color w:val="auto"/>
                      <w:szCs w:val="21"/>
                      <w:highlight w:val="none"/>
                    </w:rPr>
                    <w:t>的</w:t>
                  </w:r>
                  <w:r>
                    <w:rPr>
                      <w:color w:val="auto"/>
                      <w:szCs w:val="21"/>
                      <w:highlight w:val="none"/>
                    </w:rPr>
                    <w:t>排放</w:t>
                  </w:r>
                  <w:r>
                    <w:rPr>
                      <w:rFonts w:hint="eastAsia"/>
                      <w:color w:val="auto"/>
                      <w:szCs w:val="21"/>
                      <w:highlight w:val="none"/>
                    </w:rPr>
                    <w:t>，</w:t>
                  </w:r>
                  <w:r>
                    <w:rPr>
                      <w:color w:val="auto"/>
                      <w:szCs w:val="21"/>
                      <w:highlight w:val="none"/>
                    </w:rPr>
                    <w:t>因此不设置大气专项评价</w:t>
                  </w: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noWrap w:val="0"/>
                  <w:vAlign w:val="center"/>
                </w:tcPr>
                <w:p>
                  <w:pPr>
                    <w:spacing w:line="240" w:lineRule="auto"/>
                    <w:jc w:val="center"/>
                    <w:rPr>
                      <w:rFonts w:hint="eastAsia"/>
                      <w:color w:val="auto"/>
                      <w:szCs w:val="21"/>
                      <w:highlight w:val="none"/>
                    </w:rPr>
                  </w:pPr>
                  <w:r>
                    <w:rPr>
                      <w:rFonts w:hint="eastAsia"/>
                      <w:color w:val="auto"/>
                      <w:szCs w:val="21"/>
                      <w:highlight w:val="none"/>
                    </w:rPr>
                    <w:t>地表水</w:t>
                  </w:r>
                </w:p>
              </w:tc>
              <w:tc>
                <w:tcPr>
                  <w:tcW w:w="2132" w:type="pct"/>
                  <w:noWrap w:val="0"/>
                  <w:vAlign w:val="center"/>
                </w:tcPr>
                <w:p>
                  <w:pPr>
                    <w:spacing w:line="240" w:lineRule="auto"/>
                    <w:jc w:val="center"/>
                    <w:rPr>
                      <w:rFonts w:hint="eastAsia"/>
                      <w:color w:val="auto"/>
                      <w:szCs w:val="21"/>
                      <w:highlight w:val="none"/>
                    </w:rPr>
                  </w:pPr>
                  <w:r>
                    <w:rPr>
                      <w:rFonts w:hint="eastAsia"/>
                      <w:color w:val="auto"/>
                      <w:szCs w:val="21"/>
                      <w:highlight w:val="none"/>
                    </w:rPr>
                    <w:t>新增工业</w:t>
                  </w:r>
                  <w:r>
                    <w:rPr>
                      <w:color w:val="auto"/>
                      <w:szCs w:val="21"/>
                      <w:highlight w:val="none"/>
                    </w:rPr>
                    <w:t>废水直</w:t>
                  </w:r>
                  <w:r>
                    <w:rPr>
                      <w:rFonts w:hint="eastAsia"/>
                      <w:color w:val="auto"/>
                      <w:szCs w:val="21"/>
                      <w:highlight w:val="none"/>
                    </w:rPr>
                    <w:t>排</w:t>
                  </w:r>
                  <w:r>
                    <w:rPr>
                      <w:color w:val="auto"/>
                      <w:szCs w:val="21"/>
                      <w:highlight w:val="none"/>
                    </w:rPr>
                    <w:t>建设项目（</w:t>
                  </w:r>
                  <w:r>
                    <w:rPr>
                      <w:rFonts w:hint="eastAsia"/>
                      <w:color w:val="auto"/>
                      <w:szCs w:val="21"/>
                      <w:highlight w:val="none"/>
                    </w:rPr>
                    <w:t>槽罐车</w:t>
                  </w:r>
                  <w:r>
                    <w:rPr>
                      <w:color w:val="auto"/>
                      <w:szCs w:val="21"/>
                      <w:highlight w:val="none"/>
                    </w:rPr>
                    <w:t>外送污水处理厂的除外）</w:t>
                  </w:r>
                  <w:r>
                    <w:rPr>
                      <w:rFonts w:hint="eastAsia"/>
                      <w:color w:val="auto"/>
                      <w:szCs w:val="21"/>
                      <w:highlight w:val="none"/>
                    </w:rPr>
                    <w:t>；</w:t>
                  </w:r>
                  <w:r>
                    <w:rPr>
                      <w:color w:val="auto"/>
                      <w:szCs w:val="21"/>
                      <w:highlight w:val="none"/>
                    </w:rPr>
                    <w:t>新增废水直排的污水集中处理厂</w:t>
                  </w:r>
                </w:p>
              </w:tc>
              <w:tc>
                <w:tcPr>
                  <w:tcW w:w="2080" w:type="pct"/>
                  <w:noWrap w:val="0"/>
                  <w:vAlign w:val="center"/>
                </w:tcPr>
                <w:p>
                  <w:pPr>
                    <w:spacing w:line="240" w:lineRule="auto"/>
                    <w:jc w:val="center"/>
                    <w:rPr>
                      <w:rFonts w:hint="eastAsia"/>
                      <w:color w:val="auto"/>
                      <w:szCs w:val="21"/>
                      <w:highlight w:val="none"/>
                    </w:rPr>
                  </w:pPr>
                  <w:r>
                    <w:rPr>
                      <w:rFonts w:hint="eastAsia"/>
                      <w:color w:val="auto"/>
                      <w:szCs w:val="21"/>
                      <w:highlight w:val="none"/>
                    </w:rPr>
                    <w:t>项目废水经</w:t>
                  </w:r>
                  <w:r>
                    <w:rPr>
                      <w:rFonts w:hint="eastAsia"/>
                      <w:color w:val="auto"/>
                      <w:szCs w:val="21"/>
                      <w:highlight w:val="none"/>
                      <w:lang w:val="en-US" w:eastAsia="zh-CN"/>
                    </w:rPr>
                    <w:t>院内一体化污水处理设施</w:t>
                  </w:r>
                  <w:r>
                    <w:rPr>
                      <w:rFonts w:hint="eastAsia"/>
                      <w:color w:val="auto"/>
                      <w:szCs w:val="21"/>
                      <w:highlight w:val="none"/>
                    </w:rPr>
                    <w:t>处理后通过</w:t>
                  </w:r>
                  <w:r>
                    <w:rPr>
                      <w:rFonts w:hint="eastAsia"/>
                      <w:color w:val="auto"/>
                      <w:szCs w:val="21"/>
                      <w:highlight w:val="none"/>
                      <w:lang w:val="en-US" w:eastAsia="zh-CN"/>
                    </w:rPr>
                    <w:t>市政污水</w:t>
                  </w:r>
                  <w:r>
                    <w:rPr>
                      <w:rFonts w:hint="eastAsia"/>
                      <w:color w:val="auto"/>
                      <w:szCs w:val="21"/>
                      <w:highlight w:val="none"/>
                    </w:rPr>
                    <w:t>管网进入</w:t>
                  </w:r>
                  <w:r>
                    <w:rPr>
                      <w:rFonts w:hint="eastAsia"/>
                      <w:color w:val="auto"/>
                      <w:szCs w:val="21"/>
                      <w:highlight w:val="none"/>
                      <w:lang w:eastAsia="zh-CN"/>
                    </w:rPr>
                    <w:t>宣汉县城市生活污水处理厂</w:t>
                  </w:r>
                  <w:r>
                    <w:rPr>
                      <w:rFonts w:hint="eastAsia"/>
                      <w:color w:val="auto"/>
                      <w:szCs w:val="21"/>
                      <w:highlight w:val="none"/>
                    </w:rPr>
                    <w:t>进行处理，</w:t>
                  </w:r>
                  <w:r>
                    <w:rPr>
                      <w:color w:val="auto"/>
                      <w:szCs w:val="21"/>
                      <w:highlight w:val="none"/>
                    </w:rPr>
                    <w:t>为间接排放</w:t>
                  </w:r>
                  <w:r>
                    <w:rPr>
                      <w:rFonts w:hint="eastAsia"/>
                      <w:color w:val="auto"/>
                      <w:szCs w:val="21"/>
                      <w:highlight w:val="none"/>
                    </w:rPr>
                    <w:t>，因此不设置地表水专项评价</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noWrap w:val="0"/>
                  <w:vAlign w:val="center"/>
                </w:tcPr>
                <w:p>
                  <w:pPr>
                    <w:spacing w:line="240" w:lineRule="auto"/>
                    <w:jc w:val="center"/>
                    <w:rPr>
                      <w:rFonts w:hint="eastAsia"/>
                      <w:color w:val="auto"/>
                      <w:szCs w:val="21"/>
                      <w:highlight w:val="none"/>
                    </w:rPr>
                  </w:pPr>
                  <w:r>
                    <w:rPr>
                      <w:rFonts w:hint="eastAsia"/>
                      <w:color w:val="auto"/>
                      <w:szCs w:val="21"/>
                      <w:highlight w:val="none"/>
                    </w:rPr>
                    <w:t>环境</w:t>
                  </w:r>
                  <w:r>
                    <w:rPr>
                      <w:color w:val="auto"/>
                      <w:szCs w:val="21"/>
                      <w:highlight w:val="none"/>
                    </w:rPr>
                    <w:t>风险</w:t>
                  </w:r>
                </w:p>
              </w:tc>
              <w:tc>
                <w:tcPr>
                  <w:tcW w:w="2132" w:type="pct"/>
                  <w:noWrap w:val="0"/>
                  <w:vAlign w:val="center"/>
                </w:tcPr>
                <w:p>
                  <w:pPr>
                    <w:spacing w:line="240" w:lineRule="auto"/>
                    <w:jc w:val="center"/>
                    <w:rPr>
                      <w:rFonts w:hint="eastAsia"/>
                      <w:color w:val="auto"/>
                      <w:szCs w:val="21"/>
                      <w:highlight w:val="none"/>
                    </w:rPr>
                  </w:pPr>
                  <w:r>
                    <w:rPr>
                      <w:rFonts w:hint="eastAsia"/>
                      <w:color w:val="auto"/>
                      <w:szCs w:val="21"/>
                      <w:highlight w:val="none"/>
                    </w:rPr>
                    <w:t>有毒有害</w:t>
                  </w:r>
                  <w:r>
                    <w:rPr>
                      <w:color w:val="auto"/>
                      <w:szCs w:val="21"/>
                      <w:highlight w:val="none"/>
                    </w:rPr>
                    <w:t>和易燃易爆危险物质存储量超过临界值的建设项目</w:t>
                  </w:r>
                </w:p>
              </w:tc>
              <w:tc>
                <w:tcPr>
                  <w:tcW w:w="2080" w:type="pct"/>
                  <w:noWrap w:val="0"/>
                  <w:vAlign w:val="center"/>
                </w:tcPr>
                <w:p>
                  <w:pPr>
                    <w:spacing w:line="240" w:lineRule="auto"/>
                    <w:jc w:val="center"/>
                    <w:rPr>
                      <w:rFonts w:hint="eastAsia"/>
                      <w:color w:val="auto"/>
                      <w:szCs w:val="21"/>
                      <w:highlight w:val="none"/>
                    </w:rPr>
                  </w:pPr>
                  <w:r>
                    <w:rPr>
                      <w:rFonts w:hint="eastAsia"/>
                      <w:color w:val="auto"/>
                      <w:szCs w:val="21"/>
                      <w:highlight w:val="none"/>
                    </w:rPr>
                    <w:t>本项目不涉及有毒有害和易燃易爆危险物质存储，因此不设置环境风险专项评价</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noWrap w:val="0"/>
                  <w:vAlign w:val="center"/>
                </w:tcPr>
                <w:p>
                  <w:pPr>
                    <w:spacing w:line="240" w:lineRule="auto"/>
                    <w:jc w:val="center"/>
                    <w:rPr>
                      <w:rFonts w:hint="eastAsia"/>
                      <w:color w:val="auto"/>
                      <w:szCs w:val="21"/>
                      <w:highlight w:val="none"/>
                    </w:rPr>
                  </w:pPr>
                  <w:r>
                    <w:rPr>
                      <w:rFonts w:hint="eastAsia"/>
                      <w:color w:val="auto"/>
                      <w:szCs w:val="21"/>
                      <w:highlight w:val="none"/>
                    </w:rPr>
                    <w:t>生态</w:t>
                  </w:r>
                </w:p>
              </w:tc>
              <w:tc>
                <w:tcPr>
                  <w:tcW w:w="2132" w:type="pct"/>
                  <w:noWrap w:val="0"/>
                  <w:vAlign w:val="center"/>
                </w:tcPr>
                <w:p>
                  <w:pPr>
                    <w:spacing w:line="240" w:lineRule="auto"/>
                    <w:jc w:val="center"/>
                    <w:rPr>
                      <w:rFonts w:hint="eastAsia"/>
                      <w:color w:val="auto"/>
                      <w:szCs w:val="21"/>
                      <w:highlight w:val="none"/>
                    </w:rPr>
                  </w:pPr>
                  <w:r>
                    <w:rPr>
                      <w:rFonts w:hint="eastAsia"/>
                      <w:color w:val="auto"/>
                      <w:szCs w:val="21"/>
                      <w:highlight w:val="none"/>
                    </w:rPr>
                    <w:t>取水口</w:t>
                  </w:r>
                  <w:r>
                    <w:rPr>
                      <w:color w:val="auto"/>
                      <w:szCs w:val="21"/>
                      <w:highlight w:val="none"/>
                    </w:rPr>
                    <w:t>下游</w:t>
                  </w:r>
                  <w:r>
                    <w:rPr>
                      <w:rFonts w:hint="eastAsia"/>
                      <w:color w:val="auto"/>
                      <w:szCs w:val="21"/>
                      <w:highlight w:val="none"/>
                    </w:rPr>
                    <w:t>500米</w:t>
                  </w:r>
                  <w:r>
                    <w:rPr>
                      <w:color w:val="auto"/>
                      <w:szCs w:val="21"/>
                      <w:highlight w:val="none"/>
                    </w:rPr>
                    <w:t>范围内有重要水生生物的自然产卵场、索饵场、越冬场和洄游通道的新增河道取水的污染类建设项目</w:t>
                  </w:r>
                </w:p>
              </w:tc>
              <w:tc>
                <w:tcPr>
                  <w:tcW w:w="2080" w:type="pct"/>
                  <w:noWrap w:val="0"/>
                  <w:vAlign w:val="center"/>
                </w:tcPr>
                <w:p>
                  <w:pPr>
                    <w:spacing w:line="240" w:lineRule="auto"/>
                    <w:jc w:val="center"/>
                    <w:rPr>
                      <w:rFonts w:hint="eastAsia"/>
                      <w:color w:val="auto"/>
                      <w:szCs w:val="21"/>
                      <w:highlight w:val="none"/>
                    </w:rPr>
                  </w:pPr>
                  <w:r>
                    <w:rPr>
                      <w:rFonts w:hint="eastAsia"/>
                      <w:color w:val="auto"/>
                      <w:szCs w:val="21"/>
                      <w:highlight w:val="none"/>
                    </w:rPr>
                    <w:t>本项目</w:t>
                  </w:r>
                  <w:r>
                    <w:rPr>
                      <w:color w:val="auto"/>
                      <w:szCs w:val="21"/>
                      <w:highlight w:val="none"/>
                    </w:rPr>
                    <w:t>用水</w:t>
                  </w:r>
                  <w:r>
                    <w:rPr>
                      <w:rFonts w:hint="eastAsia"/>
                      <w:color w:val="auto"/>
                      <w:szCs w:val="21"/>
                      <w:highlight w:val="none"/>
                    </w:rPr>
                    <w:t>由市政给水管网供应，不涉及取水，因此不设置生态专项评价。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noWrap w:val="0"/>
                  <w:vAlign w:val="center"/>
                </w:tcPr>
                <w:p>
                  <w:pPr>
                    <w:spacing w:line="240" w:lineRule="auto"/>
                    <w:jc w:val="center"/>
                    <w:rPr>
                      <w:rFonts w:hint="eastAsia"/>
                      <w:color w:val="auto"/>
                      <w:szCs w:val="21"/>
                      <w:highlight w:val="none"/>
                    </w:rPr>
                  </w:pPr>
                  <w:r>
                    <w:rPr>
                      <w:rFonts w:hint="eastAsia"/>
                      <w:color w:val="auto"/>
                      <w:szCs w:val="21"/>
                      <w:highlight w:val="none"/>
                    </w:rPr>
                    <w:t>海洋</w:t>
                  </w:r>
                </w:p>
              </w:tc>
              <w:tc>
                <w:tcPr>
                  <w:tcW w:w="2132" w:type="pct"/>
                  <w:noWrap w:val="0"/>
                  <w:vAlign w:val="center"/>
                </w:tcPr>
                <w:p>
                  <w:pPr>
                    <w:spacing w:line="240" w:lineRule="auto"/>
                    <w:jc w:val="center"/>
                    <w:rPr>
                      <w:rFonts w:hint="eastAsia"/>
                      <w:color w:val="auto"/>
                      <w:szCs w:val="21"/>
                      <w:highlight w:val="none"/>
                    </w:rPr>
                  </w:pPr>
                  <w:r>
                    <w:rPr>
                      <w:rFonts w:hint="eastAsia"/>
                      <w:color w:val="auto"/>
                      <w:szCs w:val="21"/>
                      <w:highlight w:val="none"/>
                    </w:rPr>
                    <w:t>直接</w:t>
                  </w:r>
                  <w:r>
                    <w:rPr>
                      <w:color w:val="auto"/>
                      <w:szCs w:val="21"/>
                      <w:highlight w:val="none"/>
                    </w:rPr>
                    <w:t>向海排放污染物的海洋工程建设项目</w:t>
                  </w:r>
                </w:p>
              </w:tc>
              <w:tc>
                <w:tcPr>
                  <w:tcW w:w="2080" w:type="pct"/>
                  <w:noWrap w:val="0"/>
                  <w:vAlign w:val="center"/>
                </w:tcPr>
                <w:p>
                  <w:pPr>
                    <w:spacing w:line="240" w:lineRule="auto"/>
                    <w:jc w:val="center"/>
                    <w:rPr>
                      <w:rFonts w:hint="eastAsia"/>
                      <w:color w:val="auto"/>
                      <w:szCs w:val="21"/>
                      <w:highlight w:val="none"/>
                    </w:rPr>
                  </w:pPr>
                  <w:r>
                    <w:rPr>
                      <w:rFonts w:hint="eastAsia"/>
                      <w:color w:val="auto"/>
                      <w:szCs w:val="21"/>
                      <w:highlight w:val="none"/>
                    </w:rPr>
                    <w:t>本项目不涉及，不设置海洋专项评价</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3"/>
                  <w:noWrap w:val="0"/>
                  <w:vAlign w:val="center"/>
                </w:tcPr>
                <w:p>
                  <w:pPr>
                    <w:spacing w:line="240" w:lineRule="auto"/>
                    <w:rPr>
                      <w:rFonts w:hint="eastAsia"/>
                      <w:color w:val="auto"/>
                      <w:szCs w:val="21"/>
                      <w:highlight w:val="none"/>
                    </w:rPr>
                  </w:pPr>
                  <w:r>
                    <w:rPr>
                      <w:rFonts w:hint="eastAsia"/>
                      <w:color w:val="auto"/>
                      <w:szCs w:val="21"/>
                      <w:highlight w:val="none"/>
                    </w:rPr>
                    <w:t>注</w:t>
                  </w:r>
                  <w:r>
                    <w:rPr>
                      <w:color w:val="auto"/>
                      <w:szCs w:val="21"/>
                      <w:highlight w:val="none"/>
                    </w:rPr>
                    <w:t>：</w:t>
                  </w:r>
                  <w:r>
                    <w:rPr>
                      <w:rFonts w:hint="eastAsia"/>
                      <w:color w:val="auto"/>
                      <w:szCs w:val="21"/>
                      <w:highlight w:val="none"/>
                    </w:rPr>
                    <w:t>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黑体" w:cs="Times New Roman"/>
                <w:color w:val="auto"/>
                <w:sz w:val="24"/>
                <w:szCs w:val="36"/>
                <w:highlight w:val="none"/>
                <w:vertAlign w:val="baseline"/>
                <w:lang w:eastAsia="zh-CN"/>
              </w:rPr>
            </w:pPr>
            <w:r>
              <w:rPr>
                <w:rFonts w:hint="eastAsia"/>
                <w:color w:val="auto"/>
                <w:sz w:val="24"/>
                <w:highlight w:val="none"/>
                <w:lang w:bidi="en-US"/>
              </w:rPr>
              <w:t>由上表可知</w:t>
            </w:r>
            <w:r>
              <w:rPr>
                <w:color w:val="auto"/>
                <w:sz w:val="24"/>
                <w:highlight w:val="none"/>
                <w:lang w:bidi="en-US"/>
              </w:rPr>
              <w:t>，</w:t>
            </w:r>
            <w:r>
              <w:rPr>
                <w:rFonts w:hint="eastAsia"/>
                <w:color w:val="auto"/>
                <w:sz w:val="24"/>
                <w:highlight w:val="none"/>
                <w:lang w:bidi="en-US"/>
              </w:rPr>
              <w:t>本项目</w:t>
            </w:r>
            <w:r>
              <w:rPr>
                <w:color w:val="auto"/>
                <w:sz w:val="24"/>
                <w:highlight w:val="none"/>
                <w:lang w:bidi="en-US"/>
              </w:rPr>
              <w:t>不</w:t>
            </w:r>
            <w:r>
              <w:rPr>
                <w:rFonts w:hint="eastAsia"/>
                <w:color w:val="auto"/>
                <w:sz w:val="24"/>
                <w:highlight w:val="none"/>
                <w:lang w:bidi="en-US"/>
              </w:rPr>
              <w:t>需</w:t>
            </w:r>
            <w:r>
              <w:rPr>
                <w:color w:val="auto"/>
                <w:sz w:val="24"/>
                <w:highlight w:val="none"/>
                <w:lang w:bidi="en-US"/>
              </w:rPr>
              <w:t>设置</w:t>
            </w:r>
            <w:r>
              <w:rPr>
                <w:rFonts w:hint="eastAsia"/>
                <w:color w:val="auto"/>
                <w:sz w:val="24"/>
                <w:highlight w:val="none"/>
                <w:lang w:bidi="en-US"/>
              </w:rPr>
              <w:t>专项</w:t>
            </w:r>
            <w:r>
              <w:rPr>
                <w:color w:val="auto"/>
                <w:sz w:val="24"/>
                <w:highlight w:val="none"/>
                <w:lang w:bidi="en-US"/>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规划情况</w:t>
            </w:r>
          </w:p>
        </w:tc>
        <w:tc>
          <w:tcPr>
            <w:tcW w:w="3769"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规划环境影响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评价情况</w:t>
            </w:r>
          </w:p>
        </w:tc>
        <w:tc>
          <w:tcPr>
            <w:tcW w:w="3769"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规划及规划环境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影响评价符合性分析</w:t>
            </w:r>
          </w:p>
        </w:tc>
        <w:tc>
          <w:tcPr>
            <w:tcW w:w="3769"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Align w:val="center"/>
          </w:tcPr>
          <w:p>
            <w:pPr>
              <w:autoSpaceDE w:val="0"/>
              <w:autoSpaceDN w:val="0"/>
              <w:adjustRightInd w:val="0"/>
              <w:snapToGrid w:val="0"/>
              <w:spacing w:line="360" w:lineRule="auto"/>
              <w:jc w:val="center"/>
              <w:rPr>
                <w:color w:val="auto"/>
                <w:kern w:val="0"/>
                <w:sz w:val="24"/>
                <w:highlight w:val="none"/>
              </w:rPr>
            </w:pPr>
            <w:r>
              <w:rPr>
                <w:color w:val="auto"/>
                <w:kern w:val="0"/>
                <w:sz w:val="24"/>
                <w:highlight w:val="none"/>
              </w:rPr>
              <w:t>其他符合性分析</w:t>
            </w:r>
          </w:p>
        </w:tc>
        <w:tc>
          <w:tcPr>
            <w:tcW w:w="4703" w:type="pct"/>
            <w:gridSpan w:val="4"/>
            <w:vAlign w:val="center"/>
          </w:tcPr>
          <w:p>
            <w:pPr>
              <w:autoSpaceDE w:val="0"/>
              <w:autoSpaceDN w:val="0"/>
              <w:adjustRightInd w:val="0"/>
              <w:snapToGrid w:val="0"/>
              <w:spacing w:line="360" w:lineRule="auto"/>
              <w:ind w:firstLine="482" w:firstLineChars="200"/>
              <w:rPr>
                <w:rFonts w:hint="eastAsia" w:eastAsia="宋体"/>
                <w:b/>
                <w:color w:val="auto"/>
                <w:sz w:val="24"/>
                <w:highlight w:val="none"/>
                <w:lang w:val="en-US" w:eastAsia="zh-CN" w:bidi="en-US"/>
              </w:rPr>
            </w:pPr>
            <w:r>
              <w:rPr>
                <w:rFonts w:hint="eastAsia"/>
                <w:b/>
                <w:bCs w:val="0"/>
                <w:color w:val="auto"/>
                <w:sz w:val="24"/>
                <w:highlight w:val="none"/>
                <w:lang w:bidi="en-US"/>
              </w:rPr>
              <w:t>1、</w:t>
            </w:r>
            <w:r>
              <w:rPr>
                <w:rFonts w:hint="eastAsia"/>
                <w:b/>
                <w:color w:val="auto"/>
                <w:sz w:val="24"/>
                <w:highlight w:val="none"/>
                <w:lang w:bidi="en-US"/>
              </w:rPr>
              <w:t>与</w:t>
            </w:r>
            <w:r>
              <w:rPr>
                <w:rFonts w:hint="eastAsia"/>
                <w:b/>
                <w:color w:val="auto"/>
                <w:sz w:val="24"/>
                <w:highlight w:val="none"/>
                <w:lang w:val="en-US" w:eastAsia="zh-CN" w:bidi="en-US"/>
              </w:rPr>
              <w:t>《达州市“十四五”卫生健康发展规划》（达市府发〔2022〕11号）</w:t>
            </w:r>
            <w:r>
              <w:rPr>
                <w:rFonts w:hint="eastAsia"/>
                <w:b/>
                <w:color w:val="auto"/>
                <w:sz w:val="24"/>
                <w:highlight w:val="none"/>
                <w:lang w:bidi="en-US"/>
              </w:rPr>
              <w:t>符合性</w:t>
            </w:r>
            <w:r>
              <w:rPr>
                <w:rFonts w:hint="eastAsia"/>
                <w:b/>
                <w:color w:val="auto"/>
                <w:sz w:val="24"/>
                <w:highlight w:val="none"/>
                <w:lang w:val="en-US" w:eastAsia="zh-CN" w:bidi="en-US"/>
              </w:rPr>
              <w:t>分析</w:t>
            </w:r>
          </w:p>
          <w:p>
            <w:pPr>
              <w:autoSpaceDE w:val="0"/>
              <w:autoSpaceDN w:val="0"/>
              <w:adjustRightInd w:val="0"/>
              <w:snapToGrid w:val="0"/>
              <w:spacing w:line="360" w:lineRule="auto"/>
              <w:ind w:firstLine="480" w:firstLineChars="200"/>
              <w:rPr>
                <w:rFonts w:hint="default" w:eastAsia="宋体" w:cs="宋体"/>
                <w:color w:val="auto"/>
                <w:sz w:val="24"/>
                <w:highlight w:val="none"/>
                <w:lang w:val="en-US" w:eastAsia="zh-CN" w:bidi="ar"/>
              </w:rPr>
            </w:pPr>
            <w:r>
              <w:rPr>
                <w:rFonts w:hint="eastAsia" w:cs="宋体"/>
                <w:color w:val="auto"/>
                <w:sz w:val="24"/>
                <w:highlight w:val="none"/>
                <w:lang w:val="en-US" w:eastAsia="zh-CN" w:bidi="ar"/>
              </w:rPr>
              <w:t>达市府发〔2022〕11号文中提出：到2025年，覆盖城乡居民的卫生健康体系更加完善，重大疫情和突发公共卫生事件应对能力显著提升，优质医疗卫生资源总量大幅增加，疑难危重症诊疗水平不断提高，中医药独特优势和作用进一步发挥，医学教育和健康科技创新能力明显增强，健康产业高质量发展，健康生活方式基本普及，健康素养水平持续提升，建成川渝陕结合部区域医疗高地。</w:t>
            </w:r>
          </w:p>
          <w:p>
            <w:pPr>
              <w:autoSpaceDE w:val="0"/>
              <w:autoSpaceDN w:val="0"/>
              <w:adjustRightInd w:val="0"/>
              <w:snapToGrid w:val="0"/>
              <w:spacing w:line="360" w:lineRule="auto"/>
              <w:ind w:firstLine="480" w:firstLineChars="200"/>
              <w:rPr>
                <w:rFonts w:hint="eastAsia" w:cs="宋体"/>
                <w:color w:val="auto"/>
                <w:sz w:val="24"/>
                <w:highlight w:val="none"/>
                <w:lang w:bidi="ar"/>
              </w:rPr>
            </w:pPr>
            <w:r>
              <w:rPr>
                <w:rFonts w:hint="eastAsia"/>
                <w:bCs/>
                <w:color w:val="auto"/>
                <w:sz w:val="24"/>
                <w:highlight w:val="none"/>
                <w:lang w:bidi="en-US"/>
              </w:rPr>
              <w:t>本项目为</w:t>
            </w:r>
            <w:r>
              <w:rPr>
                <w:rFonts w:hint="eastAsia"/>
                <w:bCs/>
                <w:color w:val="auto"/>
                <w:sz w:val="24"/>
                <w:highlight w:val="none"/>
                <w:lang w:eastAsia="zh-CN" w:bidi="en-US"/>
              </w:rPr>
              <w:t>宣汉同盛医院建设项目</w:t>
            </w:r>
            <w:r>
              <w:rPr>
                <w:rFonts w:hint="eastAsia"/>
                <w:bCs/>
                <w:color w:val="auto"/>
                <w:sz w:val="24"/>
                <w:highlight w:val="none"/>
                <w:lang w:bidi="en-US"/>
              </w:rPr>
              <w:t>，</w:t>
            </w:r>
            <w:r>
              <w:rPr>
                <w:rFonts w:hint="eastAsia" w:cs="宋体"/>
                <w:color w:val="auto"/>
                <w:sz w:val="24"/>
                <w:highlight w:val="none"/>
                <w:lang w:bidi="ar"/>
              </w:rPr>
              <w:t>项目的实施有助于完善</w:t>
            </w:r>
            <w:r>
              <w:rPr>
                <w:rFonts w:hint="eastAsia" w:cs="宋体"/>
                <w:color w:val="auto"/>
                <w:sz w:val="24"/>
                <w:highlight w:val="none"/>
                <w:lang w:val="en-US" w:eastAsia="zh-CN" w:bidi="ar"/>
              </w:rPr>
              <w:t>宣汉县</w:t>
            </w:r>
            <w:r>
              <w:rPr>
                <w:rFonts w:hint="eastAsia" w:cs="Times New Roman"/>
                <w:color w:val="auto"/>
                <w:sz w:val="24"/>
                <w:szCs w:val="24"/>
                <w:highlight w:val="none"/>
                <w:lang w:val="en-US" w:eastAsia="zh-CN"/>
              </w:rPr>
              <w:t>蒲江街道</w:t>
            </w:r>
            <w:r>
              <w:rPr>
                <w:rFonts w:hint="eastAsia" w:cs="宋体"/>
                <w:color w:val="auto"/>
                <w:sz w:val="24"/>
                <w:highlight w:val="none"/>
                <w:lang w:bidi="ar"/>
              </w:rPr>
              <w:t>卫生资源的配置，提高</w:t>
            </w:r>
            <w:r>
              <w:rPr>
                <w:rFonts w:hint="eastAsia" w:cs="宋体"/>
                <w:color w:val="auto"/>
                <w:sz w:val="24"/>
                <w:highlight w:val="none"/>
                <w:lang w:val="en-US" w:eastAsia="zh-CN" w:bidi="ar"/>
              </w:rPr>
              <w:t>宣汉县</w:t>
            </w:r>
            <w:r>
              <w:rPr>
                <w:rFonts w:hint="eastAsia" w:cs="Times New Roman"/>
                <w:color w:val="auto"/>
                <w:sz w:val="24"/>
                <w:szCs w:val="24"/>
                <w:highlight w:val="none"/>
                <w:lang w:val="en-US" w:eastAsia="zh-CN"/>
              </w:rPr>
              <w:t>蒲江街道</w:t>
            </w:r>
            <w:r>
              <w:rPr>
                <w:rFonts w:hint="eastAsia" w:cs="宋体"/>
                <w:color w:val="auto"/>
                <w:sz w:val="24"/>
                <w:highlight w:val="none"/>
                <w:lang w:bidi="ar"/>
              </w:rPr>
              <w:t>卫生服务水平，符合</w:t>
            </w:r>
            <w:r>
              <w:rPr>
                <w:rFonts w:hint="eastAsia" w:cs="宋体"/>
                <w:color w:val="auto"/>
                <w:sz w:val="24"/>
                <w:highlight w:val="none"/>
                <w:lang w:val="en-US" w:eastAsia="zh-CN" w:bidi="ar"/>
              </w:rPr>
              <w:t>达市府发〔2022〕11号</w:t>
            </w:r>
            <w:r>
              <w:rPr>
                <w:rFonts w:hint="eastAsia" w:cs="宋体"/>
                <w:color w:val="auto"/>
                <w:sz w:val="24"/>
                <w:highlight w:val="none"/>
                <w:lang w:bidi="ar"/>
              </w:rPr>
              <w:t>相关要求。</w:t>
            </w:r>
          </w:p>
          <w:p>
            <w:pPr>
              <w:autoSpaceDE w:val="0"/>
              <w:autoSpaceDN w:val="0"/>
              <w:adjustRightInd w:val="0"/>
              <w:snapToGrid w:val="0"/>
              <w:spacing w:line="360" w:lineRule="auto"/>
              <w:ind w:firstLine="482" w:firstLineChars="200"/>
              <w:rPr>
                <w:rFonts w:hint="eastAsia"/>
                <w:b/>
                <w:bCs w:val="0"/>
                <w:color w:val="auto"/>
                <w:sz w:val="24"/>
                <w:highlight w:val="none"/>
                <w:lang w:bidi="en-US"/>
              </w:rPr>
            </w:pPr>
            <w:r>
              <w:rPr>
                <w:rFonts w:hint="eastAsia"/>
                <w:b/>
                <w:bCs w:val="0"/>
                <w:color w:val="auto"/>
                <w:sz w:val="24"/>
                <w:highlight w:val="none"/>
                <w:lang w:val="en-US" w:eastAsia="zh-CN" w:bidi="en-US"/>
              </w:rPr>
              <w:t>2</w:t>
            </w:r>
            <w:r>
              <w:rPr>
                <w:rFonts w:hint="eastAsia"/>
                <w:b/>
                <w:bCs w:val="0"/>
                <w:color w:val="auto"/>
                <w:sz w:val="24"/>
                <w:highlight w:val="none"/>
                <w:lang w:bidi="en-US"/>
              </w:rPr>
              <w:t>、产业政策符合性分析</w:t>
            </w:r>
          </w:p>
          <w:p>
            <w:pPr>
              <w:autoSpaceDE w:val="0"/>
              <w:autoSpaceDN w:val="0"/>
              <w:adjustRightInd w:val="0"/>
              <w:snapToGrid w:val="0"/>
              <w:spacing w:line="360" w:lineRule="auto"/>
              <w:ind w:firstLine="480" w:firstLineChars="200"/>
              <w:rPr>
                <w:rFonts w:hint="eastAsia"/>
                <w:bCs/>
                <w:color w:val="auto"/>
                <w:sz w:val="24"/>
                <w:highlight w:val="none"/>
                <w:lang w:bidi="en-US"/>
              </w:rPr>
            </w:pPr>
            <w:r>
              <w:rPr>
                <w:rFonts w:hint="eastAsia"/>
                <w:bCs/>
                <w:color w:val="auto"/>
                <w:sz w:val="24"/>
                <w:highlight w:val="none"/>
                <w:lang w:val="en-US" w:eastAsia="zh-CN" w:bidi="en-US"/>
              </w:rPr>
              <w:t>根据</w:t>
            </w:r>
            <w:r>
              <w:rPr>
                <w:rFonts w:hint="eastAsia"/>
                <w:bCs/>
                <w:color w:val="auto"/>
                <w:sz w:val="24"/>
                <w:highlight w:val="none"/>
                <w:lang w:bidi="en-US"/>
              </w:rPr>
              <w:t>《国民经济行业分类》（GB/T4754-2017）</w:t>
            </w:r>
            <w:r>
              <w:rPr>
                <w:rFonts w:hint="eastAsia"/>
                <w:bCs/>
                <w:color w:val="auto"/>
                <w:sz w:val="24"/>
                <w:highlight w:val="none"/>
                <w:lang w:eastAsia="zh-CN" w:bidi="en-US"/>
              </w:rPr>
              <w:t>，</w:t>
            </w:r>
            <w:r>
              <w:rPr>
                <w:rFonts w:hint="eastAsia"/>
                <w:bCs/>
                <w:color w:val="auto"/>
                <w:sz w:val="24"/>
                <w:highlight w:val="none"/>
                <w:lang w:val="en-US" w:eastAsia="zh-CN" w:bidi="en-US"/>
              </w:rPr>
              <w:t>项目属于“Q8411综合医院”类项目。根据</w:t>
            </w:r>
            <w:r>
              <w:rPr>
                <w:rFonts w:hint="eastAsia"/>
                <w:bCs/>
                <w:color w:val="auto"/>
                <w:sz w:val="24"/>
                <w:highlight w:val="none"/>
                <w:lang w:bidi="en-US"/>
              </w:rPr>
              <w:t>中华人民共和国国家发展和改革委员会令第29号《产业结构调整指导目录（2019 年本）》，本项目属于</w:t>
            </w:r>
            <w:r>
              <w:rPr>
                <w:rFonts w:hint="eastAsia"/>
                <w:b/>
                <w:bCs/>
                <w:color w:val="auto"/>
                <w:kern w:val="0"/>
                <w:sz w:val="24"/>
                <w:highlight w:val="none"/>
              </w:rPr>
              <w:t>“第一类、鼓励类”中“三十七卫生健康/</w:t>
            </w:r>
            <w:r>
              <w:rPr>
                <w:b/>
                <w:bCs/>
                <w:color w:val="auto"/>
                <w:kern w:val="0"/>
                <w:sz w:val="24"/>
                <w:highlight w:val="none"/>
              </w:rPr>
              <w:t>5</w:t>
            </w:r>
            <w:r>
              <w:rPr>
                <w:rFonts w:hint="eastAsia"/>
                <w:b/>
                <w:bCs/>
                <w:color w:val="auto"/>
                <w:kern w:val="0"/>
                <w:sz w:val="24"/>
                <w:highlight w:val="none"/>
              </w:rPr>
              <w:t>、医疗卫生服务设施建设”</w:t>
            </w:r>
            <w:r>
              <w:rPr>
                <w:rFonts w:hint="eastAsia"/>
                <w:bCs/>
                <w:color w:val="auto"/>
                <w:sz w:val="24"/>
                <w:highlight w:val="none"/>
                <w:lang w:bidi="en-US"/>
              </w:rPr>
              <w:t>。项目未使用国家</w:t>
            </w:r>
            <w:r>
              <w:rPr>
                <w:rFonts w:hint="eastAsia"/>
                <w:bCs/>
                <w:color w:val="auto"/>
                <w:sz w:val="24"/>
                <w:highlight w:val="none"/>
                <w:lang w:eastAsia="zh-CN" w:bidi="en-US"/>
              </w:rPr>
              <w:t>明</w:t>
            </w:r>
            <w:r>
              <w:rPr>
                <w:rFonts w:hint="eastAsia"/>
                <w:bCs/>
                <w:color w:val="auto"/>
                <w:sz w:val="24"/>
                <w:highlight w:val="none"/>
                <w:lang w:bidi="en-US"/>
              </w:rPr>
              <w:t>令禁止的淘汰类和限制类的工艺和设备，符合国家的产业政策。</w:t>
            </w:r>
          </w:p>
          <w:p>
            <w:pPr>
              <w:autoSpaceDE w:val="0"/>
              <w:autoSpaceDN w:val="0"/>
              <w:adjustRightInd w:val="0"/>
              <w:snapToGrid w:val="0"/>
              <w:spacing w:line="360" w:lineRule="auto"/>
              <w:ind w:firstLine="480" w:firstLineChars="200"/>
              <w:rPr>
                <w:rFonts w:hint="eastAsia"/>
                <w:bCs/>
                <w:color w:val="auto"/>
                <w:sz w:val="24"/>
                <w:highlight w:val="none"/>
                <w:lang w:bidi="en-US"/>
              </w:rPr>
            </w:pPr>
            <w:r>
              <w:rPr>
                <w:rFonts w:hint="eastAsia"/>
                <w:bCs/>
                <w:color w:val="auto"/>
                <w:sz w:val="24"/>
                <w:highlight w:val="none"/>
                <w:lang w:val="en-US" w:eastAsia="zh-CN" w:bidi="en-US"/>
              </w:rPr>
              <w:t>因此</w:t>
            </w:r>
            <w:r>
              <w:rPr>
                <w:rFonts w:hint="eastAsia"/>
                <w:bCs/>
                <w:color w:val="auto"/>
                <w:sz w:val="24"/>
                <w:highlight w:val="none"/>
                <w:lang w:bidi="en-US"/>
              </w:rPr>
              <w:t>，本项目的建设符合国家现行产业政策。</w:t>
            </w:r>
          </w:p>
          <w:p>
            <w:pPr>
              <w:autoSpaceDE w:val="0"/>
              <w:autoSpaceDN w:val="0"/>
              <w:adjustRightInd w:val="0"/>
              <w:snapToGrid w:val="0"/>
              <w:spacing w:line="360" w:lineRule="auto"/>
              <w:ind w:firstLine="482" w:firstLineChars="200"/>
              <w:rPr>
                <w:rFonts w:hint="eastAsia"/>
                <w:b/>
                <w:bCs w:val="0"/>
                <w:color w:val="auto"/>
                <w:sz w:val="24"/>
                <w:highlight w:val="none"/>
                <w:lang w:val="en-US" w:eastAsia="zh-CN" w:bidi="en-US"/>
              </w:rPr>
            </w:pPr>
            <w:r>
              <w:rPr>
                <w:rFonts w:hint="eastAsia"/>
                <w:b/>
                <w:bCs w:val="0"/>
                <w:color w:val="auto"/>
                <w:sz w:val="24"/>
                <w:highlight w:val="none"/>
                <w:lang w:val="en-US" w:eastAsia="zh-CN" w:bidi="en-US"/>
              </w:rPr>
              <w:t>3、项目规划符合性分析</w:t>
            </w:r>
          </w:p>
          <w:p>
            <w:pPr>
              <w:autoSpaceDE w:val="0"/>
              <w:autoSpaceDN w:val="0"/>
              <w:adjustRightInd w:val="0"/>
              <w:snapToGrid w:val="0"/>
              <w:spacing w:line="360" w:lineRule="auto"/>
              <w:ind w:firstLine="480" w:firstLineChars="200"/>
              <w:rPr>
                <w:rFonts w:hint="eastAsia"/>
                <w:b w:val="0"/>
                <w:bCs/>
                <w:color w:val="auto"/>
                <w:sz w:val="24"/>
                <w:highlight w:val="none"/>
                <w:lang w:val="en-US" w:eastAsia="zh-CN" w:bidi="en-US"/>
              </w:rPr>
            </w:pPr>
            <w:r>
              <w:rPr>
                <w:rFonts w:hint="eastAsia"/>
                <w:b w:val="0"/>
                <w:bCs/>
                <w:color w:val="auto"/>
                <w:sz w:val="24"/>
                <w:highlight w:val="none"/>
                <w:lang w:val="en-US" w:eastAsia="zh-CN" w:bidi="en-US"/>
              </w:rPr>
              <w:t>本项目于2021年11月10日租赁宣汉县骏杰汽贸有限公司骏杰汽贸园二号楼</w:t>
            </w:r>
            <w:r>
              <w:rPr>
                <w:rFonts w:hint="eastAsia" w:cs="Times New Roman"/>
                <w:b w:val="0"/>
                <w:bCs w:val="0"/>
                <w:color w:val="auto"/>
                <w:sz w:val="24"/>
                <w:szCs w:val="36"/>
                <w:highlight w:val="none"/>
                <w:vertAlign w:val="baseline"/>
                <w:lang w:val="en-US" w:eastAsia="zh-CN"/>
              </w:rPr>
              <w:t>建设宣汉同盛医院建设项目</w:t>
            </w:r>
            <w:r>
              <w:rPr>
                <w:rFonts w:hint="eastAsia"/>
                <w:b w:val="0"/>
                <w:bCs/>
                <w:color w:val="auto"/>
                <w:sz w:val="24"/>
                <w:highlight w:val="none"/>
                <w:lang w:val="en-US" w:eastAsia="zh-CN" w:bidi="en-US"/>
              </w:rPr>
              <w:t>（见附件），租赁建筑面积合计7000m</w:t>
            </w:r>
            <w:r>
              <w:rPr>
                <w:rFonts w:hint="eastAsia"/>
                <w:b w:val="0"/>
                <w:bCs/>
                <w:color w:val="auto"/>
                <w:sz w:val="24"/>
                <w:highlight w:val="none"/>
                <w:vertAlign w:val="superscript"/>
                <w:lang w:val="en-US" w:eastAsia="zh-CN" w:bidi="en-US"/>
              </w:rPr>
              <w:t>2</w:t>
            </w:r>
            <w:r>
              <w:rPr>
                <w:rFonts w:hint="eastAsia"/>
                <w:b w:val="0"/>
                <w:bCs/>
                <w:color w:val="auto"/>
                <w:sz w:val="24"/>
                <w:highlight w:val="none"/>
                <w:lang w:val="en-US" w:eastAsia="zh-CN" w:bidi="en-US"/>
              </w:rPr>
              <w:t>。项目所在建筑用途为商业，可用于医院的建设。因此，本项目符合宣汉县用地规划。</w:t>
            </w:r>
          </w:p>
          <w:p>
            <w:pPr>
              <w:autoSpaceDE w:val="0"/>
              <w:autoSpaceDN w:val="0"/>
              <w:adjustRightInd w:val="0"/>
              <w:snapToGrid w:val="0"/>
              <w:spacing w:line="360" w:lineRule="auto"/>
              <w:ind w:firstLine="482" w:firstLineChars="200"/>
              <w:rPr>
                <w:rFonts w:hint="default"/>
                <w:b/>
                <w:bCs w:val="0"/>
                <w:color w:val="auto"/>
                <w:sz w:val="24"/>
                <w:highlight w:val="none"/>
                <w:lang w:val="en-US" w:eastAsia="zh-CN" w:bidi="en-US"/>
              </w:rPr>
            </w:pPr>
            <w:r>
              <w:rPr>
                <w:rFonts w:hint="eastAsia"/>
                <w:b/>
                <w:bCs w:val="0"/>
                <w:color w:val="auto"/>
                <w:sz w:val="24"/>
                <w:highlight w:val="none"/>
                <w:lang w:val="en-US" w:eastAsia="zh-CN" w:bidi="en-US"/>
              </w:rPr>
              <w:t>4、“三线一单”符合性分析</w:t>
            </w:r>
          </w:p>
          <w:p>
            <w:pPr>
              <w:autoSpaceDE w:val="0"/>
              <w:autoSpaceDN w:val="0"/>
              <w:adjustRightInd w:val="0"/>
              <w:snapToGrid w:val="0"/>
              <w:spacing w:line="360" w:lineRule="auto"/>
              <w:ind w:firstLine="480" w:firstLineChars="200"/>
              <w:rPr>
                <w:bCs/>
                <w:color w:val="auto"/>
                <w:sz w:val="24"/>
                <w:highlight w:val="none"/>
                <w:lang w:bidi="en-US"/>
              </w:rPr>
            </w:pPr>
            <w:r>
              <w:rPr>
                <w:rFonts w:hint="eastAsia"/>
                <w:bCs/>
                <w:color w:val="auto"/>
                <w:sz w:val="24"/>
                <w:highlight w:val="none"/>
                <w:lang w:bidi="en-US"/>
              </w:rPr>
              <w:t>根据《四川省生态环境厅办公室关于印发〈产业园区规划环评“三线一单”符合性分析技术要点（试行）〉和〈项目环评“三线一单”符合性分析技术要点（试行）〉的通知》（川环办函〔2021〕469号）可知，若建设项目位于产业园区外，需先对其进行空间符合性分析后再进行管控要求符合性分析。项目位于产业园区外，因此先对其进行空间符合性分析，在对其进行管控要求符合性分析。</w:t>
            </w:r>
          </w:p>
          <w:p>
            <w:pPr>
              <w:autoSpaceDE w:val="0"/>
              <w:autoSpaceDN w:val="0"/>
              <w:adjustRightInd w:val="0"/>
              <w:snapToGrid w:val="0"/>
              <w:spacing w:line="360" w:lineRule="auto"/>
              <w:ind w:firstLine="482" w:firstLineChars="200"/>
              <w:rPr>
                <w:rFonts w:hint="default"/>
                <w:b/>
                <w:bCs w:val="0"/>
                <w:color w:val="auto"/>
                <w:sz w:val="24"/>
                <w:highlight w:val="none"/>
                <w:lang w:val="en-US" w:eastAsia="zh-CN" w:bidi="en-US"/>
              </w:rPr>
            </w:pPr>
            <w:r>
              <w:rPr>
                <w:rFonts w:hint="eastAsia"/>
                <w:b/>
                <w:bCs w:val="0"/>
                <w:color w:val="auto"/>
                <w:sz w:val="24"/>
                <w:highlight w:val="none"/>
                <w:lang w:val="en-US" w:eastAsia="zh-CN" w:bidi="en-US"/>
              </w:rPr>
              <w:t>（1）与“三线一单”空间符合性分析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lang w:val="en-US" w:eastAsia="zh-CN"/>
              </w:rPr>
              <w:t>根据《长江经济带战略环境评价四川省达州市“三线一单”生态环境分区管控优化完善研究报告》，达州市生态保护红线面积1214.56km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，占达州市国土面积比例的7.33%，</w:t>
            </w:r>
            <w:r>
              <w:rPr>
                <w:rFonts w:ascii="Times New Roman" w:hAnsi="Times New Roman" w:eastAsia="宋体" w:cs="Times New Roman"/>
                <w:color w:val="auto"/>
                <w:sz w:val="24"/>
                <w:szCs w:val="32"/>
                <w:highlight w:val="none"/>
              </w:rPr>
              <w:t>与原2018年相比，面积减少了42.40km</w:t>
            </w:r>
            <w:r>
              <w:rPr>
                <w:rFonts w:ascii="Times New Roman" w:hAnsi="Times New Roman" w:eastAsia="宋体" w:cs="Times New Roman"/>
                <w:color w:val="auto"/>
                <w:sz w:val="24"/>
                <w:szCs w:val="32"/>
                <w:highlight w:val="none"/>
                <w:vertAlign w:val="superscript"/>
              </w:rPr>
              <w:t>2</w:t>
            </w:r>
            <w:r>
              <w:rPr>
                <w:rFonts w:ascii="Times New Roman" w:hAnsi="Times New Roman" w:eastAsia="宋体" w:cs="Times New Roman"/>
                <w:color w:val="auto"/>
                <w:sz w:val="24"/>
                <w:szCs w:val="32"/>
                <w:highlight w:val="none"/>
              </w:rPr>
              <w:t>，其中调入红线 287.98km</w:t>
            </w:r>
            <w:r>
              <w:rPr>
                <w:rFonts w:ascii="Times New Roman" w:hAnsi="Times New Roman" w:eastAsia="宋体" w:cs="Times New Roman"/>
                <w:color w:val="auto"/>
                <w:sz w:val="24"/>
                <w:szCs w:val="32"/>
                <w:highlight w:val="none"/>
                <w:vertAlign w:val="superscript"/>
              </w:rPr>
              <w:t>2</w:t>
            </w:r>
            <w:r>
              <w:rPr>
                <w:rFonts w:ascii="Times New Roman" w:hAnsi="Times New Roman" w:eastAsia="宋体" w:cs="Times New Roman"/>
                <w:color w:val="auto"/>
                <w:sz w:val="24"/>
                <w:szCs w:val="32"/>
                <w:highlight w:val="none"/>
              </w:rPr>
              <w:t>，调出红线330.38km</w:t>
            </w:r>
            <w:r>
              <w:rPr>
                <w:rFonts w:ascii="Times New Roman" w:hAnsi="Times New Roman" w:eastAsia="宋体" w:cs="Times New Roman"/>
                <w:color w:val="auto"/>
                <w:sz w:val="24"/>
                <w:szCs w:val="32"/>
                <w:highlight w:val="none"/>
                <w:vertAlign w:val="superscript"/>
              </w:rPr>
              <w:t>2</w:t>
            </w:r>
            <w:r>
              <w:rPr>
                <w:rFonts w:ascii="Times New Roman" w:hAnsi="Times New Roman" w:eastAsia="宋体" w:cs="Times New Roman"/>
                <w:color w:val="auto"/>
                <w:sz w:val="24"/>
                <w:szCs w:val="32"/>
                <w:highlight w:val="none"/>
              </w:rPr>
              <w:t>。达州市生态保护红线主要分布在大巴山和盆地区域，涉及大巴山生物多样性维护—水源涵养生态保护红线、盆中城市饮用水源—水土保持生态保护红线</w:t>
            </w:r>
            <w:r>
              <w:rPr>
                <w:rFonts w:hint="eastAsia" w:cs="Times New Roman"/>
                <w:color w:val="auto"/>
                <w:sz w:val="24"/>
                <w:szCs w:val="32"/>
                <w:highlight w:val="none"/>
                <w:lang w:eastAsia="zh-CN"/>
              </w:rPr>
              <w:t>。</w:t>
            </w:r>
            <w:r>
              <w:rPr>
                <w:rFonts w:ascii="Times New Roman" w:hAnsi="Times New Roman" w:eastAsia="宋体" w:cs="Times New Roman"/>
                <w:color w:val="auto"/>
                <w:sz w:val="24"/>
                <w:szCs w:val="32"/>
                <w:highlight w:val="none"/>
              </w:rPr>
              <w:t>达州市生态保护红线分布图见下图</w:t>
            </w:r>
            <w:r>
              <w:rPr>
                <w:rFonts w:hint="eastAsia" w:ascii="Times New Roman" w:hAnsi="Times New Roman" w:eastAsia="宋体" w:cs="Times New Roman"/>
                <w:color w:val="auto"/>
                <w:sz w:val="24"/>
                <w:szCs w:val="32"/>
                <w:highlight w:val="none"/>
                <w:lang w:val="en-US" w:eastAsia="zh-CN"/>
              </w:rPr>
              <w:t>1-</w:t>
            </w:r>
            <w:r>
              <w:rPr>
                <w:rFonts w:hint="eastAsia" w:cs="Times New Roman"/>
                <w:color w:val="auto"/>
                <w:sz w:val="24"/>
                <w:szCs w:val="32"/>
                <w:highlight w:val="none"/>
                <w:lang w:val="en-US" w:eastAsia="zh-CN"/>
              </w:rPr>
              <w:t>1</w:t>
            </w:r>
            <w:r>
              <w:rPr>
                <w:rFonts w:ascii="Times New Roman" w:hAnsi="Times New Roman" w:eastAsia="宋体" w:cs="Times New Roman"/>
                <w:color w:val="auto"/>
                <w:sz w:val="24"/>
                <w:szCs w:val="32"/>
                <w:highlight w:val="none"/>
              </w:rPr>
              <w:t>，达州市生态空间分布图见下图</w:t>
            </w:r>
            <w:r>
              <w:rPr>
                <w:rFonts w:hint="eastAsia" w:ascii="Times New Roman" w:hAnsi="Times New Roman" w:eastAsia="宋体" w:cs="Times New Roman"/>
                <w:color w:val="auto"/>
                <w:sz w:val="24"/>
                <w:szCs w:val="32"/>
                <w:highlight w:val="none"/>
                <w:lang w:val="en-US" w:eastAsia="zh-CN"/>
              </w:rPr>
              <w:t>1-</w:t>
            </w:r>
            <w:r>
              <w:rPr>
                <w:rFonts w:hint="eastAsia" w:cs="Times New Roman"/>
                <w:color w:val="auto"/>
                <w:sz w:val="24"/>
                <w:szCs w:val="32"/>
                <w:highlight w:val="none"/>
                <w:lang w:val="en-US" w:eastAsia="zh-CN"/>
              </w:rPr>
              <w:t>2</w:t>
            </w:r>
            <w:r>
              <w:rPr>
                <w:rFonts w:ascii="Times New Roman" w:hAnsi="Times New Roman" w:eastAsia="宋体" w:cs="Times New Roman"/>
                <w:color w:val="auto"/>
                <w:sz w:val="24"/>
                <w:szCs w:val="32"/>
                <w:highlight w:val="none"/>
              </w:rPr>
              <w:t>。</w:t>
            </w:r>
          </w:p>
          <w:p>
            <w:pPr>
              <w:autoSpaceDE w:val="0"/>
              <w:autoSpaceDN w:val="0"/>
              <w:adjustRightInd w:val="0"/>
              <w:snapToGrid w:val="0"/>
              <w:spacing w:line="240" w:lineRule="auto"/>
              <w:jc w:val="center"/>
              <w:rPr>
                <w:rFonts w:hint="eastAsia"/>
                <w:bCs/>
                <w:color w:val="auto"/>
                <w:sz w:val="24"/>
                <w:highlight w:val="none"/>
                <w:lang w:val="en-US" w:eastAsia="zh-CN" w:bidi="en-US"/>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2352675</wp:posOffset>
                      </wp:positionH>
                      <wp:positionV relativeFrom="paragraph">
                        <wp:posOffset>666115</wp:posOffset>
                      </wp:positionV>
                      <wp:extent cx="575310" cy="365760"/>
                      <wp:effectExtent l="4445" t="5080" r="10795" b="657860"/>
                      <wp:wrapNone/>
                      <wp:docPr id="3" name="圆角矩形标注 3"/>
                      <wp:cNvGraphicFramePr/>
                      <a:graphic xmlns:a="http://schemas.openxmlformats.org/drawingml/2006/main">
                        <a:graphicData uri="http://schemas.microsoft.com/office/word/2010/wordprocessingShape">
                          <wps:wsp>
                            <wps:cNvSpPr/>
                            <wps:spPr>
                              <a:xfrm>
                                <a:off x="0" y="0"/>
                                <a:ext cx="575310" cy="365760"/>
                              </a:xfrm>
                              <a:prstGeom prst="wedgeRoundRectCallout">
                                <a:avLst>
                                  <a:gd name="adj1" fmla="val -45255"/>
                                  <a:gd name="adj2" fmla="val 21737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b/>
                                      <w:bCs/>
                                      <w:sz w:val="18"/>
                                      <w:szCs w:val="18"/>
                                    </w:rPr>
                                  </w:pPr>
                                  <w:r>
                                    <w:rPr>
                                      <w:rFonts w:hint="eastAsia"/>
                                      <w:b/>
                                      <w:bCs/>
                                      <w:sz w:val="18"/>
                                      <w:szCs w:val="18"/>
                                    </w:rPr>
                                    <w:t>本项目</w:t>
                                  </w:r>
                                </w:p>
                              </w:txbxContent>
                            </wps:txbx>
                            <wps:bodyPr upright="1"/>
                          </wps:wsp>
                        </a:graphicData>
                      </a:graphic>
                    </wp:anchor>
                  </w:drawing>
                </mc:Choice>
                <mc:Fallback>
                  <w:pict>
                    <v:shape id="_x0000_s1026" o:spid="_x0000_s1026" o:spt="62" type="#_x0000_t62" style="position:absolute;left:0pt;margin-left:185.25pt;margin-top:52.45pt;height:28.8pt;width:45.3pt;z-index:251660288;mso-width-relative:page;mso-height-relative:page;" fillcolor="#FFFFFF" filled="t" stroked="t" coordsize="21600,21600" o:gfxdata="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k+R3toAAAAL&#10;AQAADwAAAAAAAAABACAAAAAiAAAAZHJzL2Rvd25yZXYueG1sUEsBAhQAFAAAAAgAh07iQMcUNP9T&#10;AgAAvAQAAA4AAAAAAAAAAQAgAAAAKQEAAGRycy9lMm9Eb2MueG1sUEsFBgAAAAAGAAYAWQEAAO4F&#10;AAAAAA==&#10;" adj="1025,57752,14400">
                      <v:fill on="t" focussize="0,0"/>
                      <v:stroke color="#FF0000" joinstyle="miter"/>
                      <v:imagedata o:title=""/>
                      <o:lock v:ext="edit" aspectratio="f"/>
                      <v:textbox>
                        <w:txbxContent>
                          <w:p>
                            <w:pPr>
                              <w:rPr>
                                <w:b/>
                                <w:bCs/>
                                <w:sz w:val="18"/>
                                <w:szCs w:val="18"/>
                              </w:rPr>
                            </w:pPr>
                            <w:r>
                              <w:rPr>
                                <w:rFonts w:hint="eastAsia"/>
                                <w:b/>
                                <w:bCs/>
                                <w:sz w:val="18"/>
                                <w:szCs w:val="18"/>
                              </w:rPr>
                              <w:t>本项目</w:t>
                            </w:r>
                          </w:p>
                        </w:txbxContent>
                      </v:textbox>
                    </v:shape>
                  </w:pict>
                </mc:Fallback>
              </mc:AlternateContent>
            </w:r>
            <w:r>
              <w:rPr>
                <w:rFonts w:ascii="Times New Roman" w:hAnsi="Times New Roman" w:eastAsia="仿宋_GB2312" w:cs="Times New Roman"/>
                <w:color w:val="auto"/>
                <w:spacing w:val="-4"/>
                <w:sz w:val="28"/>
                <w:szCs w:val="28"/>
                <w:highlight w:val="none"/>
              </w:rPr>
              <w:drawing>
                <wp:inline distT="0" distB="0" distL="0" distR="0">
                  <wp:extent cx="4545330" cy="3211195"/>
                  <wp:effectExtent l="0" t="0" r="7620" b="8255"/>
                  <wp:docPr id="10326"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 name="图片 10326" descr="G:\1\达州成果\现阶段成果\达州5月出图\生态保护红线.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545330" cy="3211195"/>
                          </a:xfrm>
                          <a:prstGeom prst="rect">
                            <a:avLst/>
                          </a:prstGeom>
                          <a:noFill/>
                          <a:ln>
                            <a:noFill/>
                          </a:ln>
                        </pic:spPr>
                      </pic:pic>
                    </a:graphicData>
                  </a:graphic>
                </wp:inline>
              </w:drawing>
            </w:r>
          </w:p>
          <w:p>
            <w:pPr>
              <w:spacing w:line="240" w:lineRule="auto"/>
              <w:ind w:firstLine="420" w:firstLineChars="200"/>
              <w:jc w:val="center"/>
              <w:rPr>
                <w:rFonts w:eastAsia="黑体"/>
                <w:color w:val="auto"/>
                <w:szCs w:val="21"/>
                <w:highlight w:val="none"/>
              </w:rPr>
            </w:pPr>
            <w:r>
              <w:rPr>
                <w:rFonts w:eastAsia="黑体"/>
                <w:color w:val="auto"/>
                <w:szCs w:val="21"/>
                <w:highlight w:val="none"/>
              </w:rPr>
              <w:t>图1-</w:t>
            </w:r>
            <w:r>
              <w:rPr>
                <w:rFonts w:hint="eastAsia" w:eastAsia="黑体"/>
                <w:color w:val="auto"/>
                <w:szCs w:val="21"/>
                <w:highlight w:val="none"/>
                <w:lang w:val="en-US" w:eastAsia="zh-CN"/>
              </w:rPr>
              <w:t>1</w:t>
            </w:r>
            <w:r>
              <w:rPr>
                <w:rFonts w:eastAsia="黑体"/>
                <w:color w:val="auto"/>
                <w:szCs w:val="21"/>
                <w:highlight w:val="none"/>
              </w:rPr>
              <w:t xml:space="preserve"> </w:t>
            </w:r>
            <w:r>
              <w:rPr>
                <w:rFonts w:hint="eastAsia" w:eastAsia="黑体"/>
                <w:color w:val="auto"/>
                <w:szCs w:val="21"/>
                <w:highlight w:val="none"/>
              </w:rPr>
              <w:t>项目与</w:t>
            </w:r>
            <w:r>
              <w:rPr>
                <w:rFonts w:hint="eastAsia" w:eastAsia="黑体"/>
                <w:color w:val="auto"/>
                <w:szCs w:val="21"/>
                <w:highlight w:val="none"/>
                <w:lang w:val="en-US" w:eastAsia="zh-CN"/>
              </w:rPr>
              <w:t>达州</w:t>
            </w:r>
            <w:r>
              <w:rPr>
                <w:rFonts w:hint="eastAsia" w:eastAsia="黑体"/>
                <w:color w:val="auto"/>
                <w:szCs w:val="21"/>
                <w:highlight w:val="none"/>
              </w:rPr>
              <w:t>市生态保护红线的位置关系图</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s="Times New Roman"/>
                <w:color w:val="auto"/>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2346960</wp:posOffset>
                      </wp:positionH>
                      <wp:positionV relativeFrom="paragraph">
                        <wp:posOffset>561340</wp:posOffset>
                      </wp:positionV>
                      <wp:extent cx="575310" cy="365760"/>
                      <wp:effectExtent l="4445" t="5080" r="10795" b="657860"/>
                      <wp:wrapNone/>
                      <wp:docPr id="7" name="圆角矩形标注 7"/>
                      <wp:cNvGraphicFramePr/>
                      <a:graphic xmlns:a="http://schemas.openxmlformats.org/drawingml/2006/main">
                        <a:graphicData uri="http://schemas.microsoft.com/office/word/2010/wordprocessingShape">
                          <wps:wsp>
                            <wps:cNvSpPr/>
                            <wps:spPr>
                              <a:xfrm>
                                <a:off x="0" y="0"/>
                                <a:ext cx="575310" cy="365760"/>
                              </a:xfrm>
                              <a:prstGeom prst="wedgeRoundRectCallout">
                                <a:avLst>
                                  <a:gd name="adj1" fmla="val -45255"/>
                                  <a:gd name="adj2" fmla="val 21737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b/>
                                      <w:bCs/>
                                      <w:sz w:val="18"/>
                                      <w:szCs w:val="18"/>
                                    </w:rPr>
                                  </w:pPr>
                                  <w:r>
                                    <w:rPr>
                                      <w:rFonts w:hint="eastAsia"/>
                                      <w:b/>
                                      <w:bCs/>
                                      <w:sz w:val="18"/>
                                      <w:szCs w:val="18"/>
                                    </w:rPr>
                                    <w:t>本项目</w:t>
                                  </w:r>
                                </w:p>
                              </w:txbxContent>
                            </wps:txbx>
                            <wps:bodyPr upright="1"/>
                          </wps:wsp>
                        </a:graphicData>
                      </a:graphic>
                    </wp:anchor>
                  </w:drawing>
                </mc:Choice>
                <mc:Fallback>
                  <w:pict>
                    <v:shape id="_x0000_s1026" o:spid="_x0000_s1026" o:spt="62" type="#_x0000_t62" style="position:absolute;left:0pt;margin-left:184.8pt;margin-top:44.2pt;height:28.8pt;width:45.3pt;z-index:251661312;mso-width-relative:page;mso-height-relative:page;" fillcolor="#FFFFFF" filled="t" stroked="t" coordsize="21600,21600" o:gfxdata="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5LQnD2QAAAAoB&#10;AAAPAAAAAAAAAAEAIAAAACIAAABkcnMvZG93bnJldi54bWxQSwECFAAUAAAACACHTuJA8zpdalMC&#10;AAC8BAAADgAAAAAAAAABACAAAAAoAQAAZHJzL2Uyb0RvYy54bWxQSwUGAAAAAAYABgBZAQAA7QUA&#10;AAAA&#10;" adj="1025,57752,14400">
                      <v:fill on="t" focussize="0,0"/>
                      <v:stroke color="#FF0000" joinstyle="miter"/>
                      <v:imagedata o:title=""/>
                      <o:lock v:ext="edit" aspectratio="f"/>
                      <v:textbox>
                        <w:txbxContent>
                          <w:p>
                            <w:pPr>
                              <w:rPr>
                                <w:b/>
                                <w:bCs/>
                                <w:sz w:val="18"/>
                                <w:szCs w:val="18"/>
                              </w:rPr>
                            </w:pPr>
                            <w:r>
                              <w:rPr>
                                <w:rFonts w:hint="eastAsia"/>
                                <w:b/>
                                <w:bCs/>
                                <w:sz w:val="18"/>
                                <w:szCs w:val="18"/>
                              </w:rPr>
                              <w:t>本项目</w:t>
                            </w:r>
                          </w:p>
                        </w:txbxContent>
                      </v:textbox>
                    </v:shape>
                  </w:pict>
                </mc:Fallback>
              </mc:AlternateContent>
            </w:r>
            <w:r>
              <w:rPr>
                <w:rFonts w:ascii="Times New Roman" w:hAnsi="Times New Roman" w:cs="Times New Roman"/>
                <w:color w:val="auto"/>
                <w:highlight w:val="none"/>
              </w:rPr>
              <w:drawing>
                <wp:inline distT="0" distB="0" distL="0" distR="0">
                  <wp:extent cx="4488815" cy="2958465"/>
                  <wp:effectExtent l="0" t="0" r="6985" b="13335"/>
                  <wp:docPr id="10333" name="图片 10333" descr="G:\1\达州成果\现阶段成果\达州5月出图\生态空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 name="图片 10333" descr="G:\1\达州成果\现阶段成果\达州5月出图\生态空间.jpg"/>
                          <pic:cNvPicPr>
                            <a:picLocks noChangeAspect="1" noChangeArrowheads="1"/>
                          </pic:cNvPicPr>
                        </pic:nvPicPr>
                        <pic:blipFill>
                          <a:blip r:embed="rId6" cstate="print">
                            <a:extLst>
                              <a:ext uri="{28A0092B-C50C-407E-A947-70E740481C1C}">
                                <a14:useLocalDpi xmlns:a14="http://schemas.microsoft.com/office/drawing/2010/main" val="0"/>
                              </a:ext>
                            </a:extLst>
                          </a:blip>
                          <a:srcRect t="3025" b="3704"/>
                          <a:stretch>
                            <a:fillRect/>
                          </a:stretch>
                        </pic:blipFill>
                        <pic:spPr>
                          <a:xfrm>
                            <a:off x="0" y="0"/>
                            <a:ext cx="4488815" cy="29584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cs="Times New Roman"/>
                <w:color w:val="auto"/>
                <w:highlight w:val="none"/>
                <w:lang w:val="en-US" w:eastAsia="zh-CN"/>
              </w:rPr>
            </w:pPr>
            <w:r>
              <w:rPr>
                <w:rFonts w:eastAsia="黑体"/>
                <w:color w:val="auto"/>
                <w:szCs w:val="21"/>
                <w:highlight w:val="none"/>
              </w:rPr>
              <w:t>图1-</w:t>
            </w:r>
            <w:r>
              <w:rPr>
                <w:rFonts w:hint="eastAsia" w:eastAsia="黑体"/>
                <w:color w:val="auto"/>
                <w:szCs w:val="21"/>
                <w:highlight w:val="none"/>
                <w:lang w:val="en-US" w:eastAsia="zh-CN"/>
              </w:rPr>
              <w:t>2</w:t>
            </w:r>
            <w:r>
              <w:rPr>
                <w:rFonts w:eastAsia="黑体"/>
                <w:color w:val="auto"/>
                <w:szCs w:val="21"/>
                <w:highlight w:val="none"/>
              </w:rPr>
              <w:t xml:space="preserve"> </w:t>
            </w:r>
            <w:r>
              <w:rPr>
                <w:rFonts w:hint="eastAsia" w:eastAsia="黑体"/>
                <w:color w:val="auto"/>
                <w:szCs w:val="21"/>
                <w:highlight w:val="none"/>
              </w:rPr>
              <w:t>项目与</w:t>
            </w:r>
            <w:r>
              <w:rPr>
                <w:rFonts w:hint="eastAsia" w:eastAsia="黑体"/>
                <w:color w:val="auto"/>
                <w:szCs w:val="21"/>
                <w:highlight w:val="none"/>
                <w:lang w:val="en-US" w:eastAsia="zh-CN"/>
              </w:rPr>
              <w:t>达州</w:t>
            </w:r>
            <w:r>
              <w:rPr>
                <w:rFonts w:hint="eastAsia" w:eastAsia="黑体"/>
                <w:color w:val="auto"/>
                <w:szCs w:val="21"/>
                <w:highlight w:val="none"/>
              </w:rPr>
              <w:t>市生态</w:t>
            </w:r>
            <w:r>
              <w:rPr>
                <w:rFonts w:hint="eastAsia" w:eastAsia="黑体"/>
                <w:color w:val="auto"/>
                <w:szCs w:val="21"/>
                <w:highlight w:val="none"/>
                <w:lang w:val="en-US" w:eastAsia="zh-CN"/>
              </w:rPr>
              <w:t>空间</w:t>
            </w:r>
            <w:r>
              <w:rPr>
                <w:rFonts w:hint="eastAsia" w:eastAsia="黑体"/>
                <w:color w:val="auto"/>
                <w:szCs w:val="21"/>
                <w:highlight w:val="none"/>
              </w:rPr>
              <w:t>的位置关系图</w:t>
            </w:r>
          </w:p>
          <w:p>
            <w:pPr>
              <w:spacing w:line="360" w:lineRule="auto"/>
              <w:ind w:firstLine="482" w:firstLineChars="200"/>
              <w:rPr>
                <w:rFonts w:hint="eastAsia"/>
                <w:b/>
                <w:bCs/>
                <w:color w:val="auto"/>
                <w:sz w:val="24"/>
                <w:highlight w:val="none"/>
              </w:rPr>
            </w:pPr>
            <w:r>
              <w:rPr>
                <w:rFonts w:hint="eastAsia"/>
                <w:b/>
                <w:bCs/>
                <w:color w:val="auto"/>
                <w:sz w:val="24"/>
                <w:highlight w:val="none"/>
              </w:rPr>
              <w:t>由图</w:t>
            </w:r>
            <w:r>
              <w:rPr>
                <w:rFonts w:hint="eastAsia"/>
                <w:b/>
                <w:bCs/>
                <w:color w:val="auto"/>
                <w:sz w:val="24"/>
                <w:highlight w:val="none"/>
                <w:lang w:val="en-US" w:eastAsia="zh-CN"/>
              </w:rPr>
              <w:t>1-1、图1-2</w:t>
            </w:r>
            <w:r>
              <w:rPr>
                <w:rFonts w:hint="eastAsia"/>
                <w:b/>
                <w:bCs/>
                <w:color w:val="auto"/>
                <w:sz w:val="24"/>
                <w:highlight w:val="none"/>
              </w:rPr>
              <w:t>可知，本项目位于</w:t>
            </w:r>
            <w:r>
              <w:rPr>
                <w:rFonts w:hint="eastAsia"/>
                <w:b/>
                <w:bCs/>
                <w:color w:val="auto"/>
                <w:sz w:val="24"/>
                <w:highlight w:val="none"/>
                <w:lang w:eastAsia="zh-CN"/>
              </w:rPr>
              <w:t>四川省达州市</w:t>
            </w:r>
            <w:r>
              <w:rPr>
                <w:rFonts w:hint="eastAsia"/>
                <w:b/>
                <w:bCs/>
                <w:color w:val="auto"/>
                <w:sz w:val="24"/>
                <w:highlight w:val="none"/>
                <w:lang w:val="en-US" w:eastAsia="zh-CN"/>
              </w:rPr>
              <w:t>宣汉县蒲江街道骏杰汽贸园二号楼</w:t>
            </w:r>
            <w:r>
              <w:rPr>
                <w:rFonts w:hint="eastAsia"/>
                <w:b/>
                <w:bCs/>
                <w:color w:val="auto"/>
                <w:sz w:val="24"/>
                <w:highlight w:val="none"/>
              </w:rPr>
              <w:t>，不涉及</w:t>
            </w:r>
            <w:r>
              <w:rPr>
                <w:rFonts w:hint="eastAsia"/>
                <w:b/>
                <w:bCs/>
                <w:color w:val="auto"/>
                <w:sz w:val="24"/>
                <w:highlight w:val="none"/>
                <w:lang w:val="en-US" w:eastAsia="zh-CN"/>
              </w:rPr>
              <w:t>达州</w:t>
            </w:r>
            <w:r>
              <w:rPr>
                <w:rFonts w:hint="eastAsia"/>
                <w:b/>
                <w:bCs/>
                <w:color w:val="auto"/>
                <w:sz w:val="24"/>
                <w:highlight w:val="none"/>
              </w:rPr>
              <w:t>市生态保护红线</w:t>
            </w:r>
            <w:r>
              <w:rPr>
                <w:rFonts w:hint="eastAsia"/>
                <w:b/>
                <w:bCs/>
                <w:color w:val="auto"/>
                <w:sz w:val="24"/>
                <w:highlight w:val="none"/>
                <w:lang w:val="en-US" w:eastAsia="zh-CN"/>
              </w:rPr>
              <w:t>和一般生态空间</w:t>
            </w:r>
            <w:r>
              <w:rPr>
                <w:rFonts w:hint="eastAsia"/>
                <w:b/>
                <w:bCs/>
                <w:color w:val="auto"/>
                <w:sz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b w:val="0"/>
                <w:bCs/>
                <w:color w:val="auto"/>
                <w:sz w:val="24"/>
                <w:szCs w:val="21"/>
                <w:highlight w:val="none"/>
                <w:lang w:val="en-US" w:eastAsia="zh-CN" w:bidi="en-US"/>
              </w:rPr>
            </w:pPr>
            <w:r>
              <w:rPr>
                <w:rFonts w:hint="eastAsia"/>
                <w:b w:val="0"/>
                <w:bCs/>
                <w:color w:val="auto"/>
                <w:sz w:val="24"/>
                <w:szCs w:val="21"/>
                <w:highlight w:val="none"/>
                <w:lang w:val="en-US" w:eastAsia="zh-CN" w:bidi="en-US"/>
              </w:rPr>
              <w:t>本项目为</w:t>
            </w:r>
            <w:r>
              <w:rPr>
                <w:rFonts w:hint="eastAsia" w:cs="Times New Roman"/>
                <w:color w:val="auto"/>
                <w:sz w:val="24"/>
                <w:szCs w:val="36"/>
                <w:highlight w:val="none"/>
                <w:vertAlign w:val="baseline"/>
                <w:lang w:eastAsia="zh-CN"/>
              </w:rPr>
              <w:t>宣汉同盛医院建设项目（</w:t>
            </w:r>
            <w:r>
              <w:rPr>
                <w:rFonts w:hint="eastAsia" w:cs="Times New Roman"/>
                <w:color w:val="auto"/>
                <w:sz w:val="24"/>
                <w:szCs w:val="36"/>
                <w:highlight w:val="none"/>
                <w:vertAlign w:val="baseline"/>
                <w:lang w:val="en-US" w:eastAsia="zh-CN"/>
              </w:rPr>
              <w:t>综合医院建设项目</w:t>
            </w:r>
            <w:r>
              <w:rPr>
                <w:rFonts w:hint="eastAsia" w:cs="Times New Roman"/>
                <w:color w:val="auto"/>
                <w:sz w:val="24"/>
                <w:szCs w:val="36"/>
                <w:highlight w:val="none"/>
                <w:vertAlign w:val="baseline"/>
                <w:lang w:eastAsia="zh-CN"/>
              </w:rPr>
              <w:t>）</w:t>
            </w:r>
            <w:r>
              <w:rPr>
                <w:rFonts w:hint="eastAsia"/>
                <w:b w:val="0"/>
                <w:bCs/>
                <w:color w:val="auto"/>
                <w:sz w:val="24"/>
                <w:szCs w:val="21"/>
                <w:highlight w:val="none"/>
                <w:lang w:val="en-US" w:eastAsia="zh-CN" w:bidi="en-US"/>
              </w:rPr>
              <w:t>，项目的建设不会突破水环境质量底线，项目废水经院区一体化污水处理设施处理后经市政污水管网进入宣汉县城市生活污水处理厂进行处理，达《城镇污水处理厂污染物排放标准》（GB18918-2002）中一级A水质标准后排入</w:t>
            </w:r>
            <w:r>
              <w:rPr>
                <w:rFonts w:hint="eastAsia" w:ascii="Times New Roman" w:hAnsi="Times New Roman" w:eastAsia="宋体" w:cs="Times New Roman"/>
                <w:b w:val="0"/>
                <w:bCs/>
                <w:color w:val="auto"/>
                <w:sz w:val="24"/>
                <w:szCs w:val="21"/>
                <w:highlight w:val="none"/>
                <w:lang w:val="en-US" w:eastAsia="zh-CN" w:bidi="en-US"/>
              </w:rPr>
              <w:t>州河</w:t>
            </w:r>
            <w:r>
              <w:rPr>
                <w:rFonts w:hint="eastAsia"/>
                <w:b w:val="0"/>
                <w:bCs/>
                <w:color w:val="auto"/>
                <w:sz w:val="24"/>
                <w:szCs w:val="21"/>
                <w:highlight w:val="none"/>
                <w:lang w:val="en-US" w:eastAsia="zh-CN" w:bidi="en-US"/>
              </w:rPr>
              <w:t>；项目废气主要为</w:t>
            </w:r>
            <w:r>
              <w:rPr>
                <w:rFonts w:hint="eastAsia"/>
                <w:color w:val="auto"/>
                <w:sz w:val="24"/>
                <w:szCs w:val="24"/>
                <w:highlight w:val="none"/>
                <w:lang w:eastAsia="zh-CN"/>
              </w:rPr>
              <w:t>病区含菌空气、污水处理</w:t>
            </w:r>
            <w:r>
              <w:rPr>
                <w:rFonts w:hint="eastAsia"/>
                <w:color w:val="auto"/>
                <w:sz w:val="24"/>
                <w:szCs w:val="24"/>
                <w:highlight w:val="none"/>
                <w:lang w:val="en-US" w:eastAsia="zh-CN"/>
              </w:rPr>
              <w:t>系统</w:t>
            </w:r>
            <w:r>
              <w:rPr>
                <w:rFonts w:hint="eastAsia"/>
                <w:color w:val="auto"/>
                <w:sz w:val="24"/>
                <w:szCs w:val="24"/>
                <w:highlight w:val="none"/>
                <w:lang w:eastAsia="zh-CN"/>
              </w:rPr>
              <w:t>恶臭、</w:t>
            </w:r>
            <w:r>
              <w:rPr>
                <w:rFonts w:hint="eastAsia"/>
                <w:color w:val="auto"/>
                <w:sz w:val="24"/>
                <w:szCs w:val="24"/>
                <w:highlight w:val="none"/>
                <w:lang w:val="en-US" w:eastAsia="zh-CN"/>
              </w:rPr>
              <w:t>医疗废物暂存间</w:t>
            </w:r>
            <w:r>
              <w:rPr>
                <w:rFonts w:hint="eastAsia"/>
                <w:color w:val="auto"/>
                <w:sz w:val="24"/>
                <w:szCs w:val="24"/>
                <w:highlight w:val="none"/>
                <w:lang w:eastAsia="zh-CN"/>
              </w:rPr>
              <w:t>恶臭</w:t>
            </w:r>
            <w:r>
              <w:rPr>
                <w:rFonts w:hint="eastAsia"/>
                <w:color w:val="auto"/>
                <w:sz w:val="24"/>
                <w:szCs w:val="24"/>
                <w:highlight w:val="none"/>
                <w:lang w:val="en-US" w:eastAsia="zh-CN"/>
              </w:rPr>
              <w:t>、柴油发电机废气、食堂油烟、</w:t>
            </w:r>
            <w:r>
              <w:rPr>
                <w:rFonts w:hint="eastAsia"/>
                <w:color w:val="auto"/>
                <w:sz w:val="24"/>
                <w:szCs w:val="24"/>
                <w:highlight w:val="none"/>
                <w:lang w:eastAsia="zh-CN"/>
              </w:rPr>
              <w:t>汽车尾气</w:t>
            </w:r>
            <w:r>
              <w:rPr>
                <w:rFonts w:hint="eastAsia"/>
                <w:b w:val="0"/>
                <w:bCs/>
                <w:color w:val="auto"/>
                <w:sz w:val="24"/>
                <w:szCs w:val="21"/>
                <w:highlight w:val="none"/>
                <w:lang w:val="en-US" w:eastAsia="zh-CN" w:bidi="en-US"/>
              </w:rPr>
              <w:t>，排放量均较小，不会突破大气环境质量底线；项目用地不涉及农用地与土壤污染风险；本项目的建设不涉及高污染燃料的使用，给水由市政管网供给，用电由市政电网供给。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b/>
                <w:bCs w:val="0"/>
                <w:color w:val="auto"/>
                <w:sz w:val="24"/>
                <w:szCs w:val="21"/>
                <w:highlight w:val="none"/>
                <w:lang w:val="en-US" w:eastAsia="zh-CN" w:bidi="en-US"/>
              </w:rPr>
            </w:pPr>
            <w:r>
              <w:rPr>
                <w:rFonts w:hint="eastAsia"/>
                <w:b/>
                <w:bCs w:val="0"/>
                <w:color w:val="auto"/>
                <w:sz w:val="24"/>
                <w:szCs w:val="21"/>
                <w:highlight w:val="none"/>
                <w:lang w:val="en-US" w:eastAsia="zh-CN" w:bidi="en-US"/>
              </w:rPr>
              <w:t>综上，本项目的建设符合“三线一单”中“三线”的相关管理要求。</w:t>
            </w:r>
          </w:p>
          <w:p>
            <w:pPr>
              <w:autoSpaceDE w:val="0"/>
              <w:autoSpaceDN w:val="0"/>
              <w:adjustRightInd w:val="0"/>
              <w:snapToGrid w:val="0"/>
              <w:spacing w:line="360" w:lineRule="auto"/>
              <w:ind w:firstLine="482" w:firstLineChars="200"/>
              <w:rPr>
                <w:rFonts w:hint="default"/>
                <w:b/>
                <w:bCs w:val="0"/>
                <w:color w:val="auto"/>
                <w:sz w:val="24"/>
                <w:highlight w:val="none"/>
                <w:lang w:val="en-US" w:eastAsia="zh-CN" w:bidi="en-US"/>
              </w:rPr>
            </w:pPr>
            <w:r>
              <w:rPr>
                <w:rFonts w:hint="default"/>
                <w:b/>
                <w:bCs w:val="0"/>
                <w:color w:val="auto"/>
                <w:sz w:val="24"/>
                <w:highlight w:val="none"/>
                <w:lang w:val="en-US" w:eastAsia="zh-CN" w:bidi="en-US"/>
              </w:rPr>
              <w:t>（2）与</w:t>
            </w:r>
            <w:r>
              <w:rPr>
                <w:rFonts w:hint="eastAsia"/>
                <w:b/>
                <w:bCs w:val="0"/>
                <w:color w:val="auto"/>
                <w:sz w:val="24"/>
                <w:highlight w:val="none"/>
                <w:lang w:val="en-US" w:eastAsia="zh-CN" w:bidi="en-US"/>
              </w:rPr>
              <w:t>“三线一单”管控要求</w:t>
            </w:r>
            <w:r>
              <w:rPr>
                <w:rFonts w:hint="default"/>
                <w:b/>
                <w:bCs w:val="0"/>
                <w:color w:val="auto"/>
                <w:sz w:val="24"/>
                <w:highlight w:val="none"/>
                <w:lang w:val="en-US" w:eastAsia="zh-CN" w:bidi="en-US"/>
              </w:rPr>
              <w:t>符合性分析</w:t>
            </w:r>
          </w:p>
          <w:p>
            <w:pPr>
              <w:autoSpaceDE w:val="0"/>
              <w:autoSpaceDN w:val="0"/>
              <w:adjustRightInd w:val="0"/>
              <w:snapToGrid w:val="0"/>
              <w:spacing w:line="360" w:lineRule="auto"/>
              <w:ind w:firstLine="480" w:firstLineChars="200"/>
              <w:rPr>
                <w:rFonts w:hint="default"/>
                <w:bCs/>
                <w:color w:val="auto"/>
                <w:sz w:val="24"/>
                <w:highlight w:val="none"/>
                <w:lang w:val="en-US" w:eastAsia="zh-CN" w:bidi="en-US"/>
              </w:rPr>
            </w:pPr>
            <w:r>
              <w:rPr>
                <w:rFonts w:hint="eastAsia"/>
                <w:bCs/>
                <w:color w:val="auto"/>
                <w:sz w:val="24"/>
                <w:highlight w:val="none"/>
                <w:lang w:val="en-US" w:eastAsia="zh-CN" w:bidi="en-US"/>
              </w:rPr>
              <w:t>根据《达州市政府办公室〈关于落实生态保护红线、环境质量底线、资源利用上线制定生态环境准人清单实施生态环境分区管控的通知〉》（达市府发〔2021〕17号），</w:t>
            </w:r>
            <w:r>
              <w:rPr>
                <w:rFonts w:hint="eastAsia" w:cs="Times New Roman"/>
                <w:b/>
                <w:bCs/>
                <w:color w:val="auto"/>
                <w:sz w:val="24"/>
                <w:szCs w:val="24"/>
                <w:highlight w:val="none"/>
                <w:lang w:val="en-US" w:eastAsia="zh-CN"/>
              </w:rPr>
              <w:t>本项目区域为城镇重点管控单元。</w:t>
            </w:r>
          </w:p>
          <w:p>
            <w:pPr>
              <w:autoSpaceDE w:val="0"/>
              <w:autoSpaceDN w:val="0"/>
              <w:adjustRightInd w:val="0"/>
              <w:snapToGrid w:val="0"/>
              <w:spacing w:line="360" w:lineRule="auto"/>
              <w:jc w:val="center"/>
              <w:rPr>
                <w:rFonts w:hint="default"/>
                <w:bCs/>
                <w:color w:val="auto"/>
                <w:sz w:val="24"/>
                <w:highlight w:val="none"/>
                <w:lang w:val="en-US" w:eastAsia="zh-CN" w:bidi="en-US"/>
              </w:rPr>
            </w:pPr>
            <w:r>
              <w:rPr>
                <w:rFonts w:hint="default"/>
                <w:bCs/>
                <w:color w:val="auto"/>
                <w:sz w:val="24"/>
                <w:highlight w:val="none"/>
                <w:lang w:val="en-US" w:eastAsia="zh-CN" w:bidi="en-US"/>
              </w:rPr>
              <mc:AlternateContent>
                <mc:Choice Requires="wps">
                  <w:drawing>
                    <wp:anchor distT="0" distB="0" distL="114300" distR="114300" simplePos="0" relativeHeight="251663360" behindDoc="0" locked="0" layoutInCell="1" allowOverlap="1">
                      <wp:simplePos x="0" y="0"/>
                      <wp:positionH relativeFrom="column">
                        <wp:posOffset>1283335</wp:posOffset>
                      </wp:positionH>
                      <wp:positionV relativeFrom="paragraph">
                        <wp:posOffset>2463800</wp:posOffset>
                      </wp:positionV>
                      <wp:extent cx="1073785" cy="328930"/>
                      <wp:effectExtent l="5080" t="795020" r="6985" b="19050"/>
                      <wp:wrapNone/>
                      <wp:docPr id="6" name="圆角矩形标注 6"/>
                      <wp:cNvGraphicFramePr/>
                      <a:graphic xmlns:a="http://schemas.openxmlformats.org/drawingml/2006/main">
                        <a:graphicData uri="http://schemas.microsoft.com/office/word/2010/wordprocessingShape">
                          <wps:wsp>
                            <wps:cNvSpPr/>
                            <wps:spPr>
                              <a:xfrm>
                                <a:off x="0" y="0"/>
                                <a:ext cx="1073785" cy="328930"/>
                              </a:xfrm>
                              <a:prstGeom prst="wedgeRoundRectCallout">
                                <a:avLst>
                                  <a:gd name="adj1" fmla="val 46096"/>
                                  <a:gd name="adj2" fmla="val -282818"/>
                                  <a:gd name="adj3" fmla="val 16667"/>
                                </a:avLst>
                              </a:prstGeom>
                              <a:ln w="3175"/>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本项目</w:t>
                                  </w:r>
                                  <w:r>
                                    <w:rPr>
                                      <w:b/>
                                      <w:bCs/>
                                      <w:color w:val="FF0000"/>
                                    </w:rPr>
                                    <w:t>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1.05pt;margin-top:194pt;height:25.9pt;width:84.55pt;z-index:251663360;v-text-anchor:middle;mso-width-relative:page;mso-height-relative:page;" fillcolor="#5B9BD5 [3204]" filled="t" stroked="t" coordsize="21600,21600" o:gfxdata="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EWlrOtoAAAALAQAADwAAAAAAAAABACAAAAAiAAAAZHJzL2Rvd25yZXYu&#10;eG1sUEsBAhQAFAAAAAgAh07iQHA302ndAgAAswUAAA4AAAAAAAAAAQAgAAAAKQEAAGRycy9lMm9E&#10;b2MueG1sUEsFBgAAAAAGAAYAWQEAAHgGAAAAAA==&#10;" adj="20757,-50289,14400">
                      <v:fill on="t" focussize="0,0"/>
                      <v:stroke weight="0.25pt" color="#41719C [3204]" miterlimit="8" joinstyle="miter"/>
                      <v:imagedata o:title=""/>
                      <o:lock v:ext="edit" aspectratio="f"/>
                      <v:textbox>
                        <w:txbxContent>
                          <w:p>
                            <w:pPr>
                              <w:jc w:val="center"/>
                              <w:rPr>
                                <w:b/>
                                <w:bCs/>
                                <w:color w:val="FF0000"/>
                              </w:rPr>
                            </w:pPr>
                            <w:r>
                              <w:rPr>
                                <w:rFonts w:hint="eastAsia"/>
                                <w:b/>
                                <w:bCs/>
                                <w:color w:val="FF0000"/>
                              </w:rPr>
                              <w:t>本项目</w:t>
                            </w:r>
                            <w:r>
                              <w:rPr>
                                <w:b/>
                                <w:bCs/>
                                <w:color w:val="FF0000"/>
                              </w:rPr>
                              <w:t>所在地</w:t>
                            </w:r>
                          </w:p>
                        </w:txbxContent>
                      </v:textbox>
                    </v:shape>
                  </w:pict>
                </mc:Fallback>
              </mc:AlternateContent>
            </w:r>
            <w:r>
              <w:rPr>
                <w:rFonts w:ascii="Times New Roman" w:hAnsi="Times New Roman" w:eastAsia="仿宋_GB2312" w:cs="Times New Roman"/>
                <w:color w:val="auto"/>
                <w:sz w:val="28"/>
                <w:szCs w:val="28"/>
                <w:highlight w:val="none"/>
              </w:rPr>
              <w:drawing>
                <wp:inline distT="0" distB="0" distL="0" distR="0">
                  <wp:extent cx="4575175" cy="3230245"/>
                  <wp:effectExtent l="0" t="0" r="15875" b="8255"/>
                  <wp:docPr id="58" name="图片 58" descr="G:\达州7月出图\环境管控单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G:\达州7月出图\环境管控单元.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75175" cy="3230245"/>
                          </a:xfrm>
                          <a:prstGeom prst="rect">
                            <a:avLst/>
                          </a:prstGeom>
                          <a:noFill/>
                          <a:ln>
                            <a:noFill/>
                          </a:ln>
                        </pic:spPr>
                      </pic:pic>
                    </a:graphicData>
                  </a:graphic>
                </wp:inline>
              </w:drawing>
            </w:r>
          </w:p>
          <w:p>
            <w:pPr>
              <w:pageBreakBefore w:val="0"/>
              <w:kinsoku/>
              <w:wordWrap/>
              <w:bidi w:val="0"/>
              <w:snapToGrid w:val="0"/>
              <w:spacing w:line="360" w:lineRule="auto"/>
              <w:ind w:left="0" w:leftChars="0" w:right="0" w:firstLine="420" w:firstLineChars="200"/>
              <w:jc w:val="center"/>
              <w:rPr>
                <w:rFonts w:hint="default" w:ascii="Times New Roman" w:hAnsi="Times New Roman" w:eastAsia="黑体" w:cs="Times New Roman"/>
                <w:color w:val="auto"/>
                <w:szCs w:val="21"/>
                <w:highlight w:val="none"/>
                <w:lang w:val="en-US" w:eastAsia="zh-CN"/>
              </w:rPr>
            </w:pPr>
            <w:r>
              <w:rPr>
                <w:rFonts w:hint="eastAsia" w:ascii="Times New Roman" w:hAnsi="Times New Roman" w:eastAsia="黑体" w:cs="Times New Roman"/>
                <w:color w:val="auto"/>
                <w:szCs w:val="21"/>
                <w:highlight w:val="none"/>
                <w:lang w:val="en-US" w:eastAsia="zh-CN"/>
              </w:rPr>
              <w:t>图1-3</w:t>
            </w:r>
            <w:r>
              <w:rPr>
                <w:rFonts w:hint="eastAsia" w:eastAsia="黑体" w:cs="Times New Roman"/>
                <w:color w:val="auto"/>
                <w:szCs w:val="21"/>
                <w:highlight w:val="none"/>
                <w:lang w:val="en-US" w:eastAsia="zh-CN"/>
              </w:rPr>
              <w:t xml:space="preserve"> 达州市综合环境管控单元分布图</w:t>
            </w:r>
          </w:p>
          <w:p>
            <w:pPr>
              <w:autoSpaceDE w:val="0"/>
              <w:autoSpaceDN w:val="0"/>
              <w:adjustRightInd w:val="0"/>
              <w:snapToGrid w:val="0"/>
              <w:spacing w:line="360" w:lineRule="auto"/>
              <w:ind w:firstLine="480" w:firstLineChars="200"/>
              <w:rPr>
                <w:rFonts w:hint="default"/>
                <w:bCs/>
                <w:color w:val="auto"/>
                <w:sz w:val="24"/>
                <w:highlight w:val="none"/>
                <w:lang w:val="en-US" w:eastAsia="zh-CN" w:bidi="en-US"/>
              </w:rPr>
            </w:pPr>
            <w:r>
              <w:rPr>
                <w:rFonts w:hint="eastAsia"/>
                <w:bCs/>
                <w:color w:val="auto"/>
                <w:sz w:val="24"/>
                <w:highlight w:val="none"/>
                <w:lang w:val="en-US" w:eastAsia="zh-CN" w:bidi="en-US"/>
              </w:rPr>
              <w:t>根据四川省“三线一单”数据分析系统，查询本项目所在地所属管控单元，查询结果截图如下：</w:t>
            </w:r>
          </w:p>
          <w:p>
            <w:pPr>
              <w:autoSpaceDE w:val="0"/>
              <w:autoSpaceDN w:val="0"/>
              <w:adjustRightInd w:val="0"/>
              <w:snapToGrid w:val="0"/>
              <w:spacing w:line="360" w:lineRule="auto"/>
              <w:jc w:val="center"/>
              <w:rPr>
                <w:rFonts w:hint="eastAsia"/>
                <w:bCs/>
                <w:color w:val="auto"/>
                <w:sz w:val="24"/>
                <w:highlight w:val="none"/>
                <w:lang w:eastAsia="zh-CN" w:bidi="en-US"/>
              </w:rPr>
            </w:pPr>
            <w:r>
              <w:rPr>
                <w:rFonts w:hint="default"/>
                <w:bCs/>
                <w:color w:val="auto"/>
                <w:sz w:val="24"/>
                <w:highlight w:val="none"/>
                <w:lang w:val="en-US" w:eastAsia="zh-CN" w:bidi="en-US"/>
              </w:rPr>
              <mc:AlternateContent>
                <mc:Choice Requires="wps">
                  <w:drawing>
                    <wp:anchor distT="0" distB="0" distL="114300" distR="114300" simplePos="0" relativeHeight="251662336" behindDoc="0" locked="0" layoutInCell="1" allowOverlap="1">
                      <wp:simplePos x="0" y="0"/>
                      <wp:positionH relativeFrom="column">
                        <wp:posOffset>2636520</wp:posOffset>
                      </wp:positionH>
                      <wp:positionV relativeFrom="paragraph">
                        <wp:posOffset>1816100</wp:posOffset>
                      </wp:positionV>
                      <wp:extent cx="1073785" cy="328930"/>
                      <wp:effectExtent l="5080" t="795020" r="6985" b="19050"/>
                      <wp:wrapNone/>
                      <wp:docPr id="5" name="圆角矩形标注 5"/>
                      <wp:cNvGraphicFramePr/>
                      <a:graphic xmlns:a="http://schemas.openxmlformats.org/drawingml/2006/main">
                        <a:graphicData uri="http://schemas.microsoft.com/office/word/2010/wordprocessingShape">
                          <wps:wsp>
                            <wps:cNvSpPr/>
                            <wps:spPr>
                              <a:xfrm>
                                <a:off x="0" y="0"/>
                                <a:ext cx="1073785" cy="328930"/>
                              </a:xfrm>
                              <a:prstGeom prst="wedgeRoundRectCallout">
                                <a:avLst>
                                  <a:gd name="adj1" fmla="val 46096"/>
                                  <a:gd name="adj2" fmla="val -282818"/>
                                  <a:gd name="adj3" fmla="val 16667"/>
                                </a:avLst>
                              </a:prstGeom>
                              <a:ln w="3175"/>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本项目</w:t>
                                  </w:r>
                                  <w:r>
                                    <w:rPr>
                                      <w:b/>
                                      <w:bCs/>
                                      <w:color w:val="FF0000"/>
                                    </w:rPr>
                                    <w:t>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7.6pt;margin-top:143pt;height:25.9pt;width:84.55pt;z-index:251662336;v-text-anchor:middle;mso-width-relative:page;mso-height-relative:page;" fillcolor="#5B9BD5 [3204]" filled="t" stroked="t" coordsize="21600,21600" o:gfxdata="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5W+gttwAAAALAQAADwAAAAAAAAABACAAAAAiAAAAZHJzL2Rvd25yZXYu&#10;eG1sUEsBAhQAFAAAAAgAh07iQCCAkg7bAgAAswUAAA4AAAAAAAAAAQAgAAAAKwEAAGRycy9lMm9E&#10;b2MueG1sUEsFBgAAAAAGAAYAWQEAAHgGAAAAAA==&#10;" adj="20757,-50289,14400">
                      <v:fill on="t" focussize="0,0"/>
                      <v:stroke weight="0.25pt" color="#41719C [3204]" miterlimit="8" joinstyle="miter"/>
                      <v:imagedata o:title=""/>
                      <o:lock v:ext="edit" aspectratio="f"/>
                      <v:textbox>
                        <w:txbxContent>
                          <w:p>
                            <w:pPr>
                              <w:jc w:val="center"/>
                              <w:rPr>
                                <w:b/>
                                <w:bCs/>
                                <w:color w:val="FF0000"/>
                              </w:rPr>
                            </w:pPr>
                            <w:r>
                              <w:rPr>
                                <w:rFonts w:hint="eastAsia"/>
                                <w:b/>
                                <w:bCs/>
                                <w:color w:val="FF0000"/>
                              </w:rPr>
                              <w:t>本项目</w:t>
                            </w:r>
                            <w:r>
                              <w:rPr>
                                <w:b/>
                                <w:bCs/>
                                <w:color w:val="FF0000"/>
                              </w:rPr>
                              <w:t>所在地</w:t>
                            </w:r>
                          </w:p>
                        </w:txbxContent>
                      </v:textbox>
                    </v:shape>
                  </w:pict>
                </mc:Fallback>
              </mc:AlternateContent>
            </w:r>
            <w:r>
              <w:rPr>
                <w:rFonts w:hint="default" w:ascii="Helvetica" w:hAnsi="Helvetica" w:eastAsia="Helvetica"/>
                <w:color w:val="auto"/>
                <w:sz w:val="28"/>
                <w:szCs w:val="24"/>
                <w:highlight w:val="none"/>
              </w:rPr>
              <w:drawing>
                <wp:inline distT="0" distB="0" distL="114300" distR="114300">
                  <wp:extent cx="4540250" cy="2724785"/>
                  <wp:effectExtent l="0" t="0" r="12700" b="1841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8"/>
                          <a:stretch>
                            <a:fillRect/>
                          </a:stretch>
                        </pic:blipFill>
                        <pic:spPr>
                          <a:xfrm>
                            <a:off x="0" y="0"/>
                            <a:ext cx="4540250" cy="2724785"/>
                          </a:xfrm>
                          <a:prstGeom prst="rect">
                            <a:avLst/>
                          </a:prstGeom>
                          <a:noFill/>
                          <a:ln>
                            <a:noFill/>
                          </a:ln>
                        </pic:spPr>
                      </pic:pic>
                    </a:graphicData>
                  </a:graphic>
                </wp:inline>
              </w:drawing>
            </w:r>
          </w:p>
          <w:p>
            <w:pPr>
              <w:pageBreakBefore w:val="0"/>
              <w:kinsoku/>
              <w:wordWrap/>
              <w:bidi w:val="0"/>
              <w:snapToGrid w:val="0"/>
              <w:spacing w:line="360" w:lineRule="auto"/>
              <w:ind w:left="0" w:leftChars="0" w:right="0" w:firstLine="420" w:firstLineChars="200"/>
              <w:jc w:val="center"/>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图1-</w:t>
            </w:r>
            <w:r>
              <w:rPr>
                <w:rFonts w:hint="eastAsia" w:eastAsia="黑体" w:cs="Times New Roman"/>
                <w:color w:val="auto"/>
                <w:szCs w:val="21"/>
                <w:highlight w:val="none"/>
                <w:lang w:val="en-US" w:eastAsia="zh-CN"/>
              </w:rPr>
              <w:t>4-1</w:t>
            </w:r>
            <w:r>
              <w:rPr>
                <w:rFonts w:hint="default" w:ascii="Times New Roman" w:hAnsi="Times New Roman" w:eastAsia="黑体" w:cs="Times New Roman"/>
                <w:color w:val="auto"/>
                <w:szCs w:val="21"/>
                <w:highlight w:val="none"/>
                <w:lang w:val="en-US" w:eastAsia="zh-CN"/>
              </w:rPr>
              <w:t xml:space="preserve">  四川省“三线一单”数据分析系统查询</w:t>
            </w:r>
            <w:r>
              <w:rPr>
                <w:rFonts w:hint="eastAsia" w:eastAsia="黑体" w:cs="Times New Roman"/>
                <w:color w:val="auto"/>
                <w:szCs w:val="21"/>
                <w:highlight w:val="none"/>
                <w:lang w:val="en-US" w:eastAsia="zh-CN"/>
              </w:rPr>
              <w:t>结果截图</w:t>
            </w:r>
          </w:p>
          <w:p>
            <w:pPr>
              <w:autoSpaceDE w:val="0"/>
              <w:autoSpaceDN w:val="0"/>
              <w:adjustRightInd w:val="0"/>
              <w:snapToGrid w:val="0"/>
              <w:spacing w:line="360" w:lineRule="auto"/>
              <w:ind w:firstLine="480" w:firstLineChars="200"/>
              <w:rPr>
                <w:rFonts w:hint="default"/>
                <w:bCs/>
                <w:color w:val="auto"/>
                <w:sz w:val="24"/>
                <w:highlight w:val="none"/>
                <w:lang w:val="en-US" w:eastAsia="zh-CN" w:bidi="en-US"/>
              </w:rPr>
            </w:pPr>
            <w:r>
              <w:rPr>
                <w:rFonts w:hint="eastAsia"/>
                <w:bCs/>
                <w:color w:val="auto"/>
                <w:sz w:val="24"/>
                <w:highlight w:val="none"/>
                <w:lang w:val="en-US" w:eastAsia="zh-CN" w:bidi="en-US"/>
              </w:rPr>
              <w:t>根据查询四川省“三线一单”数据分析系统，本项目位于</w:t>
            </w:r>
            <w:r>
              <w:rPr>
                <w:rFonts w:hint="eastAsia" w:cs="Times New Roman"/>
                <w:color w:val="auto"/>
                <w:sz w:val="24"/>
                <w:szCs w:val="24"/>
                <w:highlight w:val="none"/>
                <w:lang w:eastAsia="zh-CN"/>
              </w:rPr>
              <w:t>四川省达州市宣汉县</w:t>
            </w:r>
            <w:r>
              <w:rPr>
                <w:rFonts w:hint="eastAsia" w:cs="Times New Roman"/>
                <w:color w:val="auto"/>
                <w:sz w:val="24"/>
                <w:szCs w:val="24"/>
                <w:highlight w:val="none"/>
                <w:lang w:val="en-US" w:eastAsia="zh-CN"/>
              </w:rPr>
              <w:t>蒲江街道骏杰汽贸园二号楼</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 xml:space="preserve">项目三线一单符合性分析查询结果如下图所示。 </w:t>
            </w:r>
          </w:p>
          <w:p>
            <w:pPr>
              <w:autoSpaceDE w:val="0"/>
              <w:autoSpaceDN w:val="0"/>
              <w:adjustRightInd w:val="0"/>
              <w:snapToGrid w:val="0"/>
              <w:spacing w:line="360" w:lineRule="auto"/>
              <w:jc w:val="center"/>
              <w:rPr>
                <w:color w:val="auto"/>
                <w:highlight w:val="none"/>
              </w:rPr>
            </w:pPr>
            <w:r>
              <w:rPr>
                <w:color w:val="auto"/>
                <w:highlight w:val="none"/>
              </w:rPr>
              <w:drawing>
                <wp:inline distT="0" distB="0" distL="114300" distR="114300">
                  <wp:extent cx="4723765" cy="3679190"/>
                  <wp:effectExtent l="0" t="0" r="635" b="1651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9"/>
                          <a:stretch>
                            <a:fillRect/>
                          </a:stretch>
                        </pic:blipFill>
                        <pic:spPr>
                          <a:xfrm>
                            <a:off x="0" y="0"/>
                            <a:ext cx="4723765" cy="3679190"/>
                          </a:xfrm>
                          <a:prstGeom prst="rect">
                            <a:avLst/>
                          </a:prstGeom>
                          <a:noFill/>
                          <a:ln>
                            <a:noFill/>
                          </a:ln>
                        </pic:spPr>
                      </pic:pic>
                    </a:graphicData>
                  </a:graphic>
                </wp:inline>
              </w:drawing>
            </w:r>
          </w:p>
          <w:p>
            <w:pPr>
              <w:autoSpaceDE w:val="0"/>
              <w:autoSpaceDN w:val="0"/>
              <w:adjustRightInd w:val="0"/>
              <w:snapToGrid w:val="0"/>
              <w:spacing w:line="360" w:lineRule="auto"/>
              <w:jc w:val="center"/>
              <w:rPr>
                <w:rFonts w:hint="eastAsia"/>
                <w:bCs/>
                <w:color w:val="auto"/>
                <w:sz w:val="24"/>
                <w:highlight w:val="none"/>
                <w:lang w:val="en-US" w:eastAsia="zh-CN" w:bidi="en-US"/>
              </w:rPr>
            </w:pPr>
            <w:r>
              <w:rPr>
                <w:rFonts w:hint="default" w:ascii="Times New Roman" w:hAnsi="Times New Roman" w:eastAsia="黑体" w:cs="Times New Roman"/>
                <w:color w:val="auto"/>
                <w:szCs w:val="21"/>
                <w:highlight w:val="none"/>
                <w:lang w:val="en-US" w:eastAsia="zh-CN"/>
              </w:rPr>
              <w:t>图1-</w:t>
            </w:r>
            <w:r>
              <w:rPr>
                <w:rFonts w:hint="eastAsia" w:eastAsia="黑体" w:cs="Times New Roman"/>
                <w:color w:val="auto"/>
                <w:szCs w:val="21"/>
                <w:highlight w:val="none"/>
                <w:lang w:val="en-US" w:eastAsia="zh-CN"/>
              </w:rPr>
              <w:t>4-2</w:t>
            </w:r>
            <w:r>
              <w:rPr>
                <w:rFonts w:hint="default" w:ascii="Times New Roman" w:hAnsi="Times New Roman" w:eastAsia="黑体" w:cs="Times New Roman"/>
                <w:color w:val="auto"/>
                <w:szCs w:val="21"/>
                <w:highlight w:val="none"/>
                <w:lang w:val="en-US" w:eastAsia="zh-CN"/>
              </w:rPr>
              <w:t xml:space="preserve">  四川省“三线一单”数据分析系统查询</w:t>
            </w:r>
            <w:r>
              <w:rPr>
                <w:rFonts w:hint="eastAsia" w:eastAsia="黑体" w:cs="Times New Roman"/>
                <w:color w:val="auto"/>
                <w:szCs w:val="21"/>
                <w:highlight w:val="none"/>
                <w:lang w:val="en-US" w:eastAsia="zh-CN"/>
              </w:rPr>
              <w:t>结果截图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b w:val="0"/>
                <w:bCs/>
                <w:color w:val="auto"/>
                <w:sz w:val="24"/>
                <w:szCs w:val="21"/>
                <w:highlight w:val="none"/>
                <w:lang w:val="en-US" w:eastAsia="zh-CN" w:bidi="en-US"/>
              </w:rPr>
            </w:pPr>
            <w:r>
              <w:rPr>
                <w:rFonts w:hint="eastAsia"/>
                <w:b w:val="0"/>
                <w:bCs/>
                <w:color w:val="auto"/>
                <w:sz w:val="24"/>
                <w:szCs w:val="21"/>
                <w:highlight w:val="none"/>
                <w:lang w:val="en-US" w:eastAsia="zh-CN" w:bidi="en-US"/>
              </w:rPr>
              <w:t>根据图1-4-1、图1-4-2可知，本项目位于达州市宣汉县环境综合管控单元城镇重点管控单元（管控单元名称：宣汉县中心城区，管控单元编号：ZH51172220001），该单元下的环境要素管控区分别为生态空间一般管控区；水环境城镇生活污染重点管控区；大气环境受体敏感重点管控区；农用地优先保护区、土壤环境一般管控区、建设用地污染风险重点管控区。</w:t>
            </w:r>
          </w:p>
          <w:p>
            <w:pPr>
              <w:autoSpaceDE w:val="0"/>
              <w:autoSpaceDN w:val="0"/>
              <w:adjustRightInd w:val="0"/>
              <w:snapToGrid w:val="0"/>
              <w:spacing w:line="360" w:lineRule="auto"/>
              <w:ind w:firstLine="480" w:firstLineChars="200"/>
              <w:rPr>
                <w:rFonts w:hint="default"/>
                <w:bCs/>
                <w:color w:val="auto"/>
                <w:sz w:val="24"/>
                <w:highlight w:val="none"/>
                <w:lang w:val="en-US" w:eastAsia="zh-CN" w:bidi="en-US"/>
              </w:rPr>
            </w:pPr>
            <w:r>
              <w:rPr>
                <w:rFonts w:hint="default"/>
                <w:bCs/>
                <w:color w:val="auto"/>
                <w:sz w:val="24"/>
                <w:highlight w:val="none"/>
                <w:lang w:val="en-US" w:eastAsia="zh-CN" w:bidi="en-US"/>
              </w:rPr>
              <w:t>根据达市府发〔2021〕17号，</w:t>
            </w:r>
            <w:r>
              <w:rPr>
                <w:rFonts w:hint="eastAsia"/>
                <w:bCs/>
                <w:color w:val="auto"/>
                <w:sz w:val="24"/>
                <w:highlight w:val="none"/>
                <w:lang w:val="en-US" w:eastAsia="zh-CN" w:bidi="en-US"/>
              </w:rPr>
              <w:t>将全市行政区域从生态环境保护角度划分为优先保护、重点管控和一般管控三类环境管控单元。本项目与其符合性分析见下表。</w:t>
            </w:r>
          </w:p>
          <w:p>
            <w:pPr>
              <w:autoSpaceDE w:val="0"/>
              <w:autoSpaceDN w:val="0"/>
              <w:adjustRightInd w:val="0"/>
              <w:snapToGrid w:val="0"/>
              <w:spacing w:line="360" w:lineRule="auto"/>
              <w:jc w:val="center"/>
              <w:rPr>
                <w:rFonts w:hint="eastAsia"/>
                <w:b/>
                <w:bCs w:val="0"/>
                <w:color w:val="auto"/>
                <w:sz w:val="21"/>
                <w:szCs w:val="18"/>
                <w:highlight w:val="none"/>
                <w:lang w:val="en-US" w:eastAsia="zh-CN" w:bidi="en-US"/>
              </w:rPr>
            </w:pPr>
            <w:r>
              <w:rPr>
                <w:rFonts w:hint="eastAsia" w:ascii="黑体" w:hAnsi="黑体" w:eastAsia="黑体" w:cs="黑体"/>
                <w:b w:val="0"/>
                <w:bCs/>
                <w:color w:val="auto"/>
                <w:sz w:val="21"/>
                <w:szCs w:val="18"/>
                <w:highlight w:val="none"/>
                <w:lang w:val="en-US" w:eastAsia="zh-CN" w:bidi="en-US"/>
              </w:rPr>
              <w:t>表1-2 项目与达市府发〔2021〕17号管控要求符合性</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4486"/>
              <w:gridCol w:w="3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vAlign w:val="center"/>
                </w:tcPr>
                <w:p>
                  <w:pPr>
                    <w:autoSpaceDE w:val="0"/>
                    <w:autoSpaceDN w:val="0"/>
                    <w:adjustRightInd w:val="0"/>
                    <w:snapToGrid w:val="0"/>
                    <w:spacing w:line="240" w:lineRule="auto"/>
                    <w:jc w:val="center"/>
                    <w:rPr>
                      <w:rFonts w:hint="default"/>
                      <w:b/>
                      <w:bCs w:val="0"/>
                      <w:color w:val="auto"/>
                      <w:sz w:val="21"/>
                      <w:szCs w:val="21"/>
                      <w:highlight w:val="none"/>
                      <w:vertAlign w:val="baseline"/>
                      <w:lang w:val="en-US" w:eastAsia="zh-CN" w:bidi="en-US"/>
                    </w:rPr>
                  </w:pPr>
                  <w:r>
                    <w:rPr>
                      <w:rFonts w:hint="default"/>
                      <w:b/>
                      <w:bCs w:val="0"/>
                      <w:color w:val="auto"/>
                      <w:sz w:val="21"/>
                      <w:szCs w:val="21"/>
                      <w:highlight w:val="none"/>
                      <w:vertAlign w:val="baseline"/>
                      <w:lang w:val="en-US" w:eastAsia="zh-CN" w:bidi="en-US"/>
                    </w:rPr>
                    <w:t>达市府发〔2021〕17号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Align w:val="center"/>
                </w:tcPr>
                <w:p>
                  <w:pPr>
                    <w:autoSpaceDE w:val="0"/>
                    <w:autoSpaceDN w:val="0"/>
                    <w:adjustRightInd w:val="0"/>
                    <w:snapToGrid w:val="0"/>
                    <w:spacing w:line="240" w:lineRule="auto"/>
                    <w:jc w:val="center"/>
                    <w:rPr>
                      <w:rFonts w:hint="default"/>
                      <w:b/>
                      <w:bCs w:val="0"/>
                      <w:color w:val="auto"/>
                      <w:sz w:val="21"/>
                      <w:szCs w:val="21"/>
                      <w:highlight w:val="none"/>
                      <w:vertAlign w:val="baseline"/>
                      <w:lang w:val="en-US" w:eastAsia="zh-CN" w:bidi="en-US"/>
                    </w:rPr>
                  </w:pPr>
                  <w:r>
                    <w:rPr>
                      <w:rFonts w:hint="eastAsia"/>
                      <w:b/>
                      <w:bCs w:val="0"/>
                      <w:color w:val="auto"/>
                      <w:sz w:val="21"/>
                      <w:szCs w:val="21"/>
                      <w:highlight w:val="none"/>
                      <w:vertAlign w:val="baseline"/>
                      <w:lang w:val="en-US" w:eastAsia="zh-CN" w:bidi="en-US"/>
                    </w:rPr>
                    <w:t>环境管控单元类型</w:t>
                  </w:r>
                </w:p>
              </w:tc>
              <w:tc>
                <w:tcPr>
                  <w:tcW w:w="2507" w:type="pct"/>
                  <w:vAlign w:val="center"/>
                </w:tcPr>
                <w:p>
                  <w:pPr>
                    <w:autoSpaceDE w:val="0"/>
                    <w:autoSpaceDN w:val="0"/>
                    <w:adjustRightInd w:val="0"/>
                    <w:snapToGrid w:val="0"/>
                    <w:spacing w:line="240" w:lineRule="auto"/>
                    <w:jc w:val="center"/>
                    <w:rPr>
                      <w:rFonts w:hint="default"/>
                      <w:b/>
                      <w:bCs w:val="0"/>
                      <w:color w:val="auto"/>
                      <w:sz w:val="21"/>
                      <w:szCs w:val="21"/>
                      <w:highlight w:val="none"/>
                      <w:vertAlign w:val="baseline"/>
                      <w:lang w:val="en-US" w:eastAsia="zh-CN" w:bidi="en-US"/>
                    </w:rPr>
                  </w:pPr>
                  <w:r>
                    <w:rPr>
                      <w:rFonts w:hint="eastAsia"/>
                      <w:b/>
                      <w:bCs w:val="0"/>
                      <w:color w:val="auto"/>
                      <w:sz w:val="21"/>
                      <w:szCs w:val="21"/>
                      <w:highlight w:val="none"/>
                      <w:vertAlign w:val="baseline"/>
                      <w:lang w:val="en-US" w:eastAsia="zh-CN" w:bidi="en-US"/>
                    </w:rPr>
                    <w:t>总体生态环境管控要求</w:t>
                  </w:r>
                </w:p>
              </w:tc>
              <w:tc>
                <w:tcPr>
                  <w:tcW w:w="1895" w:type="pct"/>
                  <w:vAlign w:val="center"/>
                </w:tcPr>
                <w:p>
                  <w:pPr>
                    <w:autoSpaceDE w:val="0"/>
                    <w:autoSpaceDN w:val="0"/>
                    <w:adjustRightInd w:val="0"/>
                    <w:snapToGrid w:val="0"/>
                    <w:spacing w:line="240" w:lineRule="auto"/>
                    <w:jc w:val="center"/>
                    <w:rPr>
                      <w:rFonts w:hint="default"/>
                      <w:b/>
                      <w:bCs w:val="0"/>
                      <w:color w:val="auto"/>
                      <w:sz w:val="21"/>
                      <w:szCs w:val="21"/>
                      <w:highlight w:val="none"/>
                      <w:vertAlign w:val="baseline"/>
                      <w:lang w:val="en-US" w:eastAsia="zh-CN" w:bidi="en-US"/>
                    </w:rPr>
                  </w:pPr>
                  <w:r>
                    <w:rPr>
                      <w:rFonts w:hint="eastAsia"/>
                      <w:b/>
                      <w:bCs w:val="0"/>
                      <w:color w:val="auto"/>
                      <w:sz w:val="21"/>
                      <w:szCs w:val="21"/>
                      <w:highlight w:val="none"/>
                      <w:vertAlign w:val="baseline"/>
                      <w:lang w:val="en-US" w:eastAsia="zh-CN" w:bidi="en-US"/>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优先保护单元</w:t>
                  </w:r>
                </w:p>
              </w:tc>
              <w:tc>
                <w:tcPr>
                  <w:tcW w:w="2507" w:type="pct"/>
                  <w:vAlign w:val="center"/>
                </w:tcPr>
                <w:p>
                  <w:pPr>
                    <w:autoSpaceDE w:val="0"/>
                    <w:autoSpaceDN w:val="0"/>
                    <w:adjustRightInd w:val="0"/>
                    <w:snapToGrid w:val="0"/>
                    <w:spacing w:line="240" w:lineRule="auto"/>
                    <w:jc w:val="left"/>
                    <w:rPr>
                      <w:rFonts w:hint="default"/>
                      <w:bCs/>
                      <w:color w:val="auto"/>
                      <w:sz w:val="21"/>
                      <w:szCs w:val="21"/>
                      <w:highlight w:val="none"/>
                      <w:vertAlign w:val="baseline"/>
                      <w:lang w:val="en-US" w:eastAsia="zh-CN" w:bidi="en-US"/>
                    </w:rPr>
                  </w:pPr>
                  <w:r>
                    <w:rPr>
                      <w:rFonts w:ascii="Times New Roman" w:hAnsi="Times New Roman" w:eastAsia="宋体" w:cs="Times New Roman"/>
                      <w:i w:val="0"/>
                      <w:iCs w:val="0"/>
                      <w:caps w:val="0"/>
                      <w:color w:val="auto"/>
                      <w:spacing w:val="0"/>
                      <w:sz w:val="21"/>
                      <w:szCs w:val="21"/>
                      <w:highlight w:val="none"/>
                      <w:u w:val="none"/>
                      <w:shd w:val="clear" w:fill="FFFFFF"/>
                    </w:rPr>
                    <w:t>优先保护单元中，应以生态环境保护优先为原则，严格执行相关法律、法规要求，严守生态环境质量底线，确保生态环境功能不降低。</w:t>
                  </w:r>
                </w:p>
              </w:tc>
              <w:tc>
                <w:tcPr>
                  <w:tcW w:w="1895" w:type="pct"/>
                  <w:vMerge w:val="restart"/>
                  <w:vAlign w:val="center"/>
                </w:tcPr>
                <w:p>
                  <w:pPr>
                    <w:autoSpaceDE w:val="0"/>
                    <w:autoSpaceDN w:val="0"/>
                    <w:adjustRightInd w:val="0"/>
                    <w:snapToGrid w:val="0"/>
                    <w:spacing w:line="240" w:lineRule="auto"/>
                    <w:jc w:val="center"/>
                    <w:rPr>
                      <w:rFonts w:hint="default" w:ascii="Times New Roman" w:hAnsi="Times New Roman" w:eastAsia="宋体" w:cs="黑体"/>
                      <w:bCs/>
                      <w:color w:val="auto"/>
                      <w:kern w:val="2"/>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根据四川政务服务网，四川省“三线一单”数据分析系统查询可知，本项目位于达州市宣汉县环境综合管控单元城镇重点管控单元（管控单元名称：宣汉县中心城区，管控单元编号：ZH51172220001），建设单位在采取本项目提出的环保措施后，废水、废气、噪声能够达标排放，固废能够得到妥善处置，能够落实生态环境保护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重点管控单元</w:t>
                  </w:r>
                </w:p>
              </w:tc>
              <w:tc>
                <w:tcPr>
                  <w:tcW w:w="2507" w:type="pct"/>
                  <w:vAlign w:val="center"/>
                </w:tcPr>
                <w:p>
                  <w:pPr>
                    <w:autoSpaceDE w:val="0"/>
                    <w:autoSpaceDN w:val="0"/>
                    <w:adjustRightInd w:val="0"/>
                    <w:snapToGrid w:val="0"/>
                    <w:spacing w:line="240" w:lineRule="auto"/>
                    <w:jc w:val="left"/>
                    <w:rPr>
                      <w:rFonts w:hint="default"/>
                      <w:bCs/>
                      <w:color w:val="auto"/>
                      <w:sz w:val="21"/>
                      <w:szCs w:val="21"/>
                      <w:highlight w:val="none"/>
                      <w:vertAlign w:val="baseline"/>
                      <w:lang w:val="en-US" w:eastAsia="zh-CN" w:bidi="en-US"/>
                    </w:rPr>
                  </w:pPr>
                  <w:r>
                    <w:rPr>
                      <w:rFonts w:ascii="Times New Roman" w:hAnsi="Times New Roman" w:eastAsia="宋体" w:cs="Times New Roman"/>
                      <w:i w:val="0"/>
                      <w:iCs w:val="0"/>
                      <w:caps w:val="0"/>
                      <w:color w:val="auto"/>
                      <w:spacing w:val="0"/>
                      <w:sz w:val="21"/>
                      <w:szCs w:val="21"/>
                      <w:highlight w:val="none"/>
                      <w:u w:val="none"/>
                      <w:shd w:val="clear" w:fill="FFFFFF"/>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895" w:type="pct"/>
                  <w:vMerge w:val="continue"/>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Align w:val="center"/>
                </w:tcPr>
                <w:p>
                  <w:pPr>
                    <w:autoSpaceDE w:val="0"/>
                    <w:autoSpaceDN w:val="0"/>
                    <w:adjustRightInd w:val="0"/>
                    <w:snapToGrid w:val="0"/>
                    <w:spacing w:line="240" w:lineRule="auto"/>
                    <w:jc w:val="center"/>
                    <w:rPr>
                      <w:rFonts w:hint="default"/>
                      <w:b w:val="0"/>
                      <w:bCs/>
                      <w:color w:val="auto"/>
                      <w:sz w:val="21"/>
                      <w:szCs w:val="21"/>
                      <w:highlight w:val="none"/>
                      <w:vertAlign w:val="baseline"/>
                      <w:lang w:val="en-US" w:eastAsia="zh-CN" w:bidi="en-US"/>
                    </w:rPr>
                  </w:pPr>
                  <w:r>
                    <w:rPr>
                      <w:rFonts w:hint="eastAsia"/>
                      <w:b w:val="0"/>
                      <w:bCs/>
                      <w:color w:val="auto"/>
                      <w:sz w:val="21"/>
                      <w:szCs w:val="21"/>
                      <w:highlight w:val="none"/>
                      <w:vertAlign w:val="baseline"/>
                      <w:lang w:val="en-US" w:eastAsia="zh-CN" w:bidi="en-US"/>
                    </w:rPr>
                    <w:t>一般管控</w:t>
                  </w:r>
                  <w:r>
                    <w:rPr>
                      <w:rFonts w:hint="eastAsia"/>
                      <w:bCs/>
                      <w:color w:val="auto"/>
                      <w:sz w:val="21"/>
                      <w:szCs w:val="21"/>
                      <w:highlight w:val="none"/>
                      <w:vertAlign w:val="baseline"/>
                      <w:lang w:val="en-US" w:eastAsia="zh-CN" w:bidi="en-US"/>
                    </w:rPr>
                    <w:t>单元</w:t>
                  </w:r>
                </w:p>
              </w:tc>
              <w:tc>
                <w:tcPr>
                  <w:tcW w:w="2507" w:type="pct"/>
                  <w:vAlign w:val="center"/>
                </w:tcPr>
                <w:p>
                  <w:pPr>
                    <w:autoSpaceDE w:val="0"/>
                    <w:autoSpaceDN w:val="0"/>
                    <w:adjustRightInd w:val="0"/>
                    <w:snapToGrid w:val="0"/>
                    <w:spacing w:line="240" w:lineRule="auto"/>
                    <w:jc w:val="left"/>
                    <w:rPr>
                      <w:rFonts w:hint="default"/>
                      <w:b w:val="0"/>
                      <w:bCs/>
                      <w:color w:val="auto"/>
                      <w:sz w:val="21"/>
                      <w:szCs w:val="21"/>
                      <w:highlight w:val="none"/>
                      <w:vertAlign w:val="baseline"/>
                      <w:lang w:val="en-US" w:eastAsia="zh-CN" w:bidi="en-US"/>
                    </w:rPr>
                  </w:pPr>
                  <w:r>
                    <w:rPr>
                      <w:rFonts w:ascii="Times New Roman" w:hAnsi="Times New Roman" w:eastAsia="宋体" w:cs="Times New Roman"/>
                      <w:i w:val="0"/>
                      <w:iCs w:val="0"/>
                      <w:caps w:val="0"/>
                      <w:color w:val="auto"/>
                      <w:spacing w:val="0"/>
                      <w:sz w:val="21"/>
                      <w:szCs w:val="21"/>
                      <w:highlight w:val="none"/>
                      <w:u w:val="none"/>
                      <w:shd w:val="clear" w:fill="FFFFFF"/>
                    </w:rPr>
                    <w:t>一般管控单元中，执行区域生态环境保护的基本要求，重点加强农业、生活等领域污染治理。</w:t>
                  </w:r>
                </w:p>
              </w:tc>
              <w:tc>
                <w:tcPr>
                  <w:tcW w:w="1895" w:type="pct"/>
                  <w:vMerge w:val="continue"/>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596" w:type="pct"/>
                  <w:vMerge w:val="restart"/>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r>
                    <w:rPr>
                      <w:rFonts w:ascii="Times New Roman" w:hAnsi="Times New Roman" w:eastAsia="宋体" w:cs="Times New Roman"/>
                      <w:i w:val="0"/>
                      <w:iCs w:val="0"/>
                      <w:caps w:val="0"/>
                      <w:color w:val="auto"/>
                      <w:spacing w:val="0"/>
                      <w:sz w:val="21"/>
                      <w:szCs w:val="21"/>
                      <w:highlight w:val="none"/>
                      <w:u w:val="none"/>
                      <w:shd w:val="clear" w:fill="FFFFFF"/>
                    </w:rPr>
                    <w:t>达州市</w:t>
                  </w: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1.对钢铁行业提出严格资源环境绩效水平要求；</w:t>
                  </w:r>
                </w:p>
              </w:tc>
              <w:tc>
                <w:tcPr>
                  <w:tcW w:w="1895" w:type="pc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项目不属于钢铁行业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96" w:type="pct"/>
                  <w:vMerge w:val="continue"/>
                  <w:vAlign w:val="center"/>
                </w:tcPr>
                <w:p>
                  <w:pPr>
                    <w:autoSpaceDE w:val="0"/>
                    <w:autoSpaceDN w:val="0"/>
                    <w:adjustRightInd w:val="0"/>
                    <w:snapToGrid w:val="0"/>
                    <w:spacing w:line="240" w:lineRule="auto"/>
                    <w:jc w:val="center"/>
                    <w:rPr>
                      <w:color w:val="auto"/>
                      <w:highlight w:val="none"/>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 xml:space="preserve">2.高污染企业限期退城入园； </w:t>
                  </w:r>
                </w:p>
              </w:tc>
              <w:tc>
                <w:tcPr>
                  <w:tcW w:w="1895" w:type="pct"/>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项目不属于高污染企业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96" w:type="pct"/>
                  <w:vMerge w:val="continue"/>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3.普光气田开发污染防治和环境管理等方面要达到国内先进水平；</w:t>
                  </w:r>
                </w:p>
              </w:tc>
              <w:tc>
                <w:tcPr>
                  <w:tcW w:w="1895" w:type="pct"/>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项目不属于高污染企业气田开发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96" w:type="pct"/>
                  <w:vMerge w:val="continue"/>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4.引进项目应符合园区规划环评和区域产业准入清单要求；</w:t>
                  </w:r>
                </w:p>
              </w:tc>
              <w:tc>
                <w:tcPr>
                  <w:tcW w:w="1895" w:type="pc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项目位于园区外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96" w:type="pct"/>
                  <w:vMerge w:val="continue"/>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5.长江干支流岸线1km范围内，不得新建、扩建化工园区和化工项目；</w:t>
                  </w:r>
                </w:p>
              </w:tc>
              <w:tc>
                <w:tcPr>
                  <w:tcW w:w="1895" w:type="pc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项目不属于化工类项目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96" w:type="pct"/>
                  <w:vMerge w:val="continue"/>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6.严控产业转移环境准入；</w:t>
                  </w:r>
                </w:p>
              </w:tc>
              <w:tc>
                <w:tcPr>
                  <w:tcW w:w="1895" w:type="pc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项目不属于产业转移环境准入项目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96" w:type="pct"/>
                  <w:vMerge w:val="continue"/>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7.造纸等产业污染治理和环境管理应达到国内先进水平。优化制浆造纸产业布局，提升行业清洁生产水平，推动制浆造纸工业向节能、环保、绿色方向发展。</w:t>
                  </w:r>
                </w:p>
              </w:tc>
              <w:tc>
                <w:tcPr>
                  <w:tcW w:w="1895" w:type="pc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项目不属于与造纸等行业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6" w:type="pct"/>
                  <w:vMerge w:val="restart"/>
                  <w:vAlign w:val="center"/>
                </w:tcPr>
                <w:p>
                  <w:pPr>
                    <w:autoSpaceDE w:val="0"/>
                    <w:autoSpaceDN w:val="0"/>
                    <w:adjustRightInd w:val="0"/>
                    <w:snapToGrid w:val="0"/>
                    <w:spacing w:line="240" w:lineRule="auto"/>
                    <w:jc w:val="center"/>
                    <w:rPr>
                      <w:rFonts w:hint="default" w:ascii="Times New Roman" w:hAnsi="Times New Roman" w:eastAsia="宋体" w:cs="Times New Roman"/>
                      <w:i w:val="0"/>
                      <w:iCs w:val="0"/>
                      <w:caps w:val="0"/>
                      <w:color w:val="auto"/>
                      <w:spacing w:val="0"/>
                      <w:sz w:val="21"/>
                      <w:szCs w:val="21"/>
                      <w:highlight w:val="none"/>
                      <w:u w:val="none"/>
                      <w:shd w:val="clear" w:fill="FFFFFF"/>
                      <w:lang w:val="en-US" w:eastAsia="zh-CN"/>
                    </w:rPr>
                  </w:pPr>
                  <w:r>
                    <w:rPr>
                      <w:rFonts w:hint="eastAsia" w:ascii="Times New Roman" w:hAnsi="Times New Roman" w:eastAsia="宋体" w:cs="Times New Roman"/>
                      <w:i w:val="0"/>
                      <w:iCs w:val="0"/>
                      <w:caps w:val="0"/>
                      <w:color w:val="auto"/>
                      <w:spacing w:val="0"/>
                      <w:sz w:val="21"/>
                      <w:szCs w:val="21"/>
                      <w:highlight w:val="none"/>
                      <w:u w:val="none"/>
                      <w:shd w:val="clear" w:fill="FFFFFF"/>
                      <w:lang w:val="en-US" w:eastAsia="zh-CN"/>
                    </w:rPr>
                    <w:t>宣汉县</w:t>
                  </w: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1.加强小流域水环境保护，推动农村环保基础设施建设，全面推进农村环境综合整治、生活污水处理项目。大力开展沿河畜禽养殖污染整治，大力推广生态种植，减少农药化肥使用量；</w:t>
                  </w:r>
                </w:p>
              </w:tc>
              <w:tc>
                <w:tcPr>
                  <w:tcW w:w="1895" w:type="pct"/>
                  <w:vMerge w:val="restart"/>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项目为宣汉同盛医院建设项目，</w:t>
                  </w:r>
                  <w:r>
                    <w:rPr>
                      <w:rFonts w:hint="eastAsia"/>
                      <w:color w:val="auto"/>
                      <w:kern w:val="0"/>
                      <w:szCs w:val="21"/>
                      <w:highlight w:val="none"/>
                    </w:rPr>
                    <w:t>项目建成后，在严格执行本报告提出的污染防治措施后，可实现污染物达标排放。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6" w:type="pct"/>
                  <w:vMerge w:val="continue"/>
                  <w:vAlign w:val="center"/>
                </w:tcPr>
                <w:p>
                  <w:pPr>
                    <w:autoSpaceDE w:val="0"/>
                    <w:autoSpaceDN w:val="0"/>
                    <w:adjustRightInd w:val="0"/>
                    <w:snapToGrid w:val="0"/>
                    <w:spacing w:line="240" w:lineRule="auto"/>
                    <w:jc w:val="center"/>
                    <w:rPr>
                      <w:color w:val="auto"/>
                      <w:highlight w:val="none"/>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2.打好升级版污染防治攻坚战。持续优化调整产业布局，以PM</w:t>
                  </w:r>
                  <w:r>
                    <w:rPr>
                      <w:rFonts w:hint="eastAsia"/>
                      <w:bCs/>
                      <w:color w:val="auto"/>
                      <w:sz w:val="21"/>
                      <w:szCs w:val="21"/>
                      <w:highlight w:val="none"/>
                      <w:vertAlign w:val="subscript"/>
                      <w:lang w:val="en-US" w:eastAsia="zh-CN" w:bidi="en-US"/>
                    </w:rPr>
                    <w:t>2.5</w:t>
                  </w:r>
                  <w:r>
                    <w:rPr>
                      <w:rFonts w:hint="eastAsia"/>
                      <w:bCs/>
                      <w:color w:val="auto"/>
                      <w:sz w:val="21"/>
                      <w:szCs w:val="21"/>
                      <w:highlight w:val="none"/>
                      <w:vertAlign w:val="baseline"/>
                      <w:lang w:val="en-US" w:eastAsia="zh-CN" w:bidi="en-US"/>
                    </w:rPr>
                    <w:t>和臭氧污染协同控制为重点，全面开展VOCs治理，实施移动源整治，持续推进空气质量精细化管理；</w:t>
                  </w:r>
                </w:p>
              </w:tc>
              <w:tc>
                <w:tcPr>
                  <w:tcW w:w="1895" w:type="pct"/>
                  <w:vMerge w:val="continue"/>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96" w:type="pct"/>
                  <w:vMerge w:val="continue"/>
                  <w:vAlign w:val="center"/>
                </w:tcPr>
                <w:p>
                  <w:pPr>
                    <w:autoSpaceDE w:val="0"/>
                    <w:autoSpaceDN w:val="0"/>
                    <w:adjustRightInd w:val="0"/>
                    <w:snapToGrid w:val="0"/>
                    <w:spacing w:line="240" w:lineRule="auto"/>
                    <w:jc w:val="center"/>
                    <w:rPr>
                      <w:rFonts w:hint="eastAsia"/>
                      <w:bCs/>
                      <w:color w:val="auto"/>
                      <w:sz w:val="21"/>
                      <w:szCs w:val="21"/>
                      <w:highlight w:val="none"/>
                      <w:vertAlign w:val="baseline"/>
                      <w:lang w:val="en-US" w:eastAsia="zh-CN" w:bidi="en-US"/>
                    </w:rPr>
                  </w:pPr>
                </w:p>
              </w:tc>
              <w:tc>
                <w:tcPr>
                  <w:tcW w:w="2507" w:type="pct"/>
                  <w:vAlign w:val="center"/>
                </w:tcPr>
                <w:p>
                  <w:pPr>
                    <w:autoSpaceDE w:val="0"/>
                    <w:autoSpaceDN w:val="0"/>
                    <w:adjustRightInd w:val="0"/>
                    <w:snapToGrid w:val="0"/>
                    <w:spacing w:line="240" w:lineRule="auto"/>
                    <w:jc w:val="left"/>
                    <w:rPr>
                      <w:rFonts w:hint="eastAsia"/>
                      <w:bCs/>
                      <w:color w:val="auto"/>
                      <w:sz w:val="21"/>
                      <w:szCs w:val="21"/>
                      <w:highlight w:val="none"/>
                      <w:vertAlign w:val="baseline"/>
                      <w:lang w:val="en-US" w:eastAsia="zh-CN" w:bidi="en-US"/>
                    </w:rPr>
                  </w:pPr>
                  <w:r>
                    <w:rPr>
                      <w:rFonts w:hint="eastAsia"/>
                      <w:bCs/>
                      <w:color w:val="auto"/>
                      <w:sz w:val="21"/>
                      <w:szCs w:val="21"/>
                      <w:highlight w:val="none"/>
                      <w:vertAlign w:val="baseline"/>
                      <w:lang w:val="en-US" w:eastAsia="zh-CN" w:bidi="en-US"/>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895" w:type="pct"/>
                  <w:vMerge w:val="continue"/>
                  <w:vAlign w:val="center"/>
                </w:tcPr>
                <w:p>
                  <w:pPr>
                    <w:autoSpaceDE w:val="0"/>
                    <w:autoSpaceDN w:val="0"/>
                    <w:adjustRightInd w:val="0"/>
                    <w:snapToGrid w:val="0"/>
                    <w:spacing w:line="240" w:lineRule="auto"/>
                    <w:jc w:val="center"/>
                    <w:rPr>
                      <w:rFonts w:hint="default"/>
                      <w:bCs/>
                      <w:color w:val="auto"/>
                      <w:sz w:val="21"/>
                      <w:szCs w:val="21"/>
                      <w:highlight w:val="none"/>
                      <w:vertAlign w:val="baseline"/>
                      <w:lang w:val="en-US" w:eastAsia="zh-CN" w:bidi="en-US"/>
                    </w:rPr>
                  </w:pPr>
                </w:p>
              </w:tc>
            </w:tr>
          </w:tbl>
          <w:p>
            <w:pPr>
              <w:autoSpaceDE w:val="0"/>
              <w:autoSpaceDN w:val="0"/>
              <w:adjustRightInd w:val="0"/>
              <w:snapToGrid w:val="0"/>
              <w:spacing w:line="360" w:lineRule="auto"/>
              <w:ind w:firstLine="480" w:firstLineChars="200"/>
              <w:rPr>
                <w:rFonts w:hint="default"/>
                <w:bCs/>
                <w:color w:val="auto"/>
                <w:sz w:val="24"/>
                <w:highlight w:val="none"/>
                <w:lang w:val="en-US" w:eastAsia="zh-CN" w:bidi="en-US"/>
              </w:rPr>
            </w:pPr>
            <w:r>
              <w:rPr>
                <w:rFonts w:hint="default"/>
                <w:bCs/>
                <w:color w:val="auto"/>
                <w:sz w:val="24"/>
                <w:highlight w:val="none"/>
                <w:lang w:val="en-US" w:eastAsia="zh-CN" w:bidi="en-US"/>
              </w:rPr>
              <w:t>综上，本项目符合达市府发〔2021〕17号文中生态环境管控要求。</w:t>
            </w:r>
          </w:p>
          <w:p>
            <w:pPr>
              <w:autoSpaceDE w:val="0"/>
              <w:autoSpaceDN w:val="0"/>
              <w:adjustRightInd w:val="0"/>
              <w:snapToGrid w:val="0"/>
              <w:spacing w:line="360" w:lineRule="auto"/>
              <w:ind w:firstLine="482" w:firstLineChars="200"/>
              <w:rPr>
                <w:rFonts w:hint="default"/>
                <w:b/>
                <w:bCs w:val="0"/>
                <w:color w:val="auto"/>
                <w:sz w:val="24"/>
                <w:highlight w:val="none"/>
                <w:lang w:val="en-US" w:eastAsia="zh-CN" w:bidi="en-US"/>
              </w:rPr>
            </w:pPr>
            <w:r>
              <w:rPr>
                <w:rFonts w:hint="eastAsia"/>
                <w:b/>
                <w:bCs w:val="0"/>
                <w:color w:val="auto"/>
                <w:sz w:val="24"/>
                <w:highlight w:val="none"/>
                <w:lang w:val="en-US" w:eastAsia="zh-CN" w:bidi="en-US"/>
              </w:rPr>
              <w:t>（3）生态环境准入清单符合性分析</w:t>
            </w:r>
          </w:p>
          <w:p>
            <w:pPr>
              <w:autoSpaceDE w:val="0"/>
              <w:autoSpaceDN w:val="0"/>
              <w:adjustRightInd w:val="0"/>
              <w:snapToGrid w:val="0"/>
              <w:spacing w:line="360" w:lineRule="auto"/>
              <w:ind w:firstLine="480" w:firstLineChars="200"/>
              <w:rPr>
                <w:rFonts w:hint="eastAsia"/>
                <w:bCs/>
                <w:color w:val="auto"/>
                <w:sz w:val="24"/>
                <w:highlight w:val="none"/>
                <w:lang w:val="en-US" w:eastAsia="zh-CN" w:bidi="en-US"/>
              </w:rPr>
            </w:pPr>
            <w:r>
              <w:rPr>
                <w:rFonts w:hint="eastAsia"/>
                <w:bCs/>
                <w:color w:val="auto"/>
                <w:sz w:val="24"/>
                <w:highlight w:val="none"/>
                <w:lang w:val="en-US" w:eastAsia="zh-CN" w:bidi="en-US"/>
              </w:rPr>
              <w:t>根据《长江经济带战略环境评价四川省达州市“三线一单”生态环境分区管控优化完善研究报告》，本项目与上述环境管控单元符合性分析见下表。</w:t>
            </w:r>
          </w:p>
          <w:p>
            <w:pPr>
              <w:autoSpaceDE w:val="0"/>
              <w:autoSpaceDN w:val="0"/>
              <w:adjustRightInd w:val="0"/>
              <w:snapToGrid w:val="0"/>
              <w:spacing w:line="360" w:lineRule="auto"/>
              <w:ind w:firstLine="480" w:firstLineChars="200"/>
              <w:rPr>
                <w:rFonts w:hint="eastAsia" w:eastAsia="宋体"/>
                <w:bCs/>
                <w:color w:val="auto"/>
                <w:sz w:val="24"/>
                <w:highlight w:val="none"/>
                <w:lang w:eastAsia="zh-CN" w:bidi="en-US"/>
              </w:rPr>
            </w:pPr>
          </w:p>
        </w:tc>
      </w:tr>
    </w:tbl>
    <w:p>
      <w:pPr>
        <w:pStyle w:val="28"/>
        <w:pageBreakBefore w:val="0"/>
        <w:kinsoku/>
        <w:wordWrap/>
        <w:bidi w:val="0"/>
        <w:spacing w:line="360" w:lineRule="auto"/>
        <w:ind w:left="0" w:leftChars="0" w:right="0"/>
        <w:jc w:val="center"/>
        <w:rPr>
          <w:rFonts w:hint="default" w:ascii="Times New Roman" w:hAnsi="Times New Roman" w:eastAsia="黑体" w:cs="Times New Roman"/>
          <w:b w:val="0"/>
          <w:color w:val="auto"/>
          <w:sz w:val="30"/>
          <w:szCs w:val="30"/>
          <w:highlight w:val="none"/>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autoSpaceDE w:val="0"/>
              <w:autoSpaceDN w:val="0"/>
              <w:adjustRightInd w:val="0"/>
              <w:snapToGrid w:val="0"/>
              <w:spacing w:line="360" w:lineRule="auto"/>
              <w:jc w:val="center"/>
              <w:rPr>
                <w:rFonts w:hint="eastAsia"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rPr>
              <w:t>其他符合性分析</w:t>
            </w:r>
          </w:p>
        </w:tc>
        <w:tc>
          <w:tcPr>
            <w:tcW w:w="13749" w:type="dxa"/>
          </w:tcPr>
          <w:p>
            <w:pPr>
              <w:autoSpaceDE w:val="0"/>
              <w:autoSpaceDN w:val="0"/>
              <w:adjustRightInd w:val="0"/>
              <w:snapToGrid w:val="0"/>
              <w:spacing w:line="360" w:lineRule="auto"/>
              <w:jc w:val="center"/>
              <w:rPr>
                <w:rFonts w:hint="eastAsia" w:ascii="黑体" w:hAnsi="黑体" w:eastAsia="黑体" w:cs="黑体"/>
                <w:b w:val="0"/>
                <w:bCs/>
                <w:color w:val="auto"/>
                <w:sz w:val="21"/>
                <w:szCs w:val="18"/>
                <w:highlight w:val="none"/>
                <w:lang w:val="en-US" w:eastAsia="zh-CN" w:bidi="en-US"/>
              </w:rPr>
            </w:pPr>
            <w:r>
              <w:rPr>
                <w:rFonts w:hint="eastAsia" w:ascii="黑体" w:hAnsi="黑体" w:eastAsia="黑体" w:cs="黑体"/>
                <w:b w:val="0"/>
                <w:bCs/>
                <w:color w:val="auto"/>
                <w:sz w:val="21"/>
                <w:szCs w:val="18"/>
                <w:highlight w:val="none"/>
                <w:lang w:val="en-US" w:eastAsia="zh-CN" w:bidi="en-US"/>
              </w:rPr>
              <w:t>表1-3 本项目与所涉及环境管控单元符合性分析一览表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54"/>
              <w:gridCol w:w="7009"/>
              <w:gridCol w:w="682"/>
              <w:gridCol w:w="2727"/>
              <w:gridCol w:w="1064"/>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noWrap w:val="0"/>
                  <w:vAlign w:val="center"/>
                </w:tcPr>
                <w:p>
                  <w:pPr>
                    <w:widowControl/>
                    <w:spacing w:line="240" w:lineRule="auto"/>
                    <w:ind w:firstLine="0" w:firstLineChars="0"/>
                    <w:jc w:val="center"/>
                    <w:rPr>
                      <w:rStyle w:val="22"/>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241" w:type="pct"/>
                  <w:noWrap w:val="0"/>
                  <w:vAlign w:val="center"/>
                </w:tcPr>
                <w:p>
                  <w:pPr>
                    <w:widowControl/>
                    <w:spacing w:line="240" w:lineRule="auto"/>
                    <w:ind w:firstLine="0" w:firstLineChars="0"/>
                    <w:jc w:val="center"/>
                    <w:rPr>
                      <w:rStyle w:val="22"/>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2592" w:type="pct"/>
                  <w:noWrap w:val="0"/>
                  <w:vAlign w:val="center"/>
                </w:tcPr>
                <w:p>
                  <w:pPr>
                    <w:widowControl w:val="0"/>
                    <w:spacing w:line="240" w:lineRule="auto"/>
                    <w:ind w:firstLine="0" w:firstLineChars="0"/>
                    <w:jc w:val="center"/>
                    <w:rPr>
                      <w:rStyle w:val="22"/>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达州市普适性清单</w:t>
                  </w:r>
                </w:p>
              </w:tc>
              <w:tc>
                <w:tcPr>
                  <w:tcW w:w="252" w:type="pct"/>
                  <w:noWrap w:val="0"/>
                  <w:vAlign w:val="center"/>
                </w:tcPr>
                <w:p>
                  <w:pPr>
                    <w:widowControl/>
                    <w:spacing w:line="240" w:lineRule="auto"/>
                    <w:ind w:firstLine="0" w:firstLineChars="0"/>
                    <w:jc w:val="center"/>
                    <w:rPr>
                      <w:rStyle w:val="22"/>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管控类别</w:t>
                  </w:r>
                </w:p>
              </w:tc>
              <w:tc>
                <w:tcPr>
                  <w:tcW w:w="1008" w:type="pct"/>
                  <w:noWrap w:val="0"/>
                  <w:vAlign w:val="center"/>
                </w:tcPr>
                <w:p>
                  <w:pPr>
                    <w:widowControl/>
                    <w:spacing w:line="240" w:lineRule="auto"/>
                    <w:ind w:firstLine="0" w:firstLineChars="0"/>
                    <w:jc w:val="center"/>
                    <w:rPr>
                      <w:rStyle w:val="22"/>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单元特性管控要求</w:t>
                  </w:r>
                </w:p>
              </w:tc>
              <w:tc>
                <w:tcPr>
                  <w:tcW w:w="393" w:type="pct"/>
                  <w:noWrap w:val="0"/>
                  <w:vAlign w:val="center"/>
                </w:tcPr>
                <w:p>
                  <w:pPr>
                    <w:widowControl/>
                    <w:spacing w:line="240" w:lineRule="auto"/>
                    <w:ind w:firstLine="0" w:firstLineChars="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项目对应情况介绍</w:t>
                  </w:r>
                </w:p>
              </w:tc>
              <w:tc>
                <w:tcPr>
                  <w:tcW w:w="265" w:type="pct"/>
                  <w:noWrap w:val="0"/>
                  <w:vAlign w:val="center"/>
                </w:tcPr>
                <w:p>
                  <w:pPr>
                    <w:widowControl/>
                    <w:spacing w:line="240" w:lineRule="auto"/>
                    <w:ind w:firstLine="0" w:firstLineChars="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noWrap w:val="0"/>
                  <w:vAlign w:val="center"/>
                </w:tcPr>
                <w:p>
                  <w:pPr>
                    <w:pStyle w:val="37"/>
                    <w:widowControl/>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Style w:val="22"/>
                      <w:rFonts w:hint="default" w:ascii="Times New Roman" w:hAnsi="Times New Roman" w:eastAsia="宋体" w:cs="Times New Roman"/>
                      <w:kern w:val="2"/>
                      <w:sz w:val="21"/>
                      <w:szCs w:val="21"/>
                      <w:lang w:val="en-US" w:eastAsia="zh-CN" w:bidi="ar-SA"/>
                    </w:rPr>
                    <w:t>ZH51172220001</w:t>
                  </w:r>
                </w:p>
              </w:tc>
              <w:tc>
                <w:tcPr>
                  <w:tcW w:w="241" w:type="pct"/>
                  <w:noWrap w:val="0"/>
                  <w:vAlign w:val="center"/>
                </w:tcPr>
                <w:p>
                  <w:pPr>
                    <w:pStyle w:val="37"/>
                    <w:widowControl/>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Style w:val="22"/>
                      <w:rFonts w:hint="default" w:ascii="Times New Roman" w:hAnsi="Times New Roman" w:eastAsia="宋体" w:cs="Times New Roman"/>
                      <w:kern w:val="2"/>
                      <w:sz w:val="21"/>
                      <w:szCs w:val="21"/>
                      <w:lang w:val="en-US" w:eastAsia="zh-CN" w:bidi="ar-SA"/>
                    </w:rPr>
                    <w:t>宣汉县中心城区</w:t>
                  </w:r>
                </w:p>
              </w:tc>
              <w:tc>
                <w:tcPr>
                  <w:tcW w:w="2592" w:type="pct"/>
                  <w:noWrap w:val="0"/>
                  <w:vAlign w:val="top"/>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空间布局约束：</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禁止开发建设活动的要求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-禁止在长江干支流岸线一公里范围内新建、扩建化工园区和化工项目。禁止在长江干流岸线三公里范围内和重要支流岸线一公里范围内新建、改建、扩建尾矿库；但是以提升安全、生态环境保护水平为目</w:t>
                  </w:r>
                  <w:bookmarkStart w:id="3" w:name="_GoBack"/>
                  <w:bookmarkEnd w:id="3"/>
                  <w:r>
                    <w:rPr>
                      <w:rStyle w:val="22"/>
                      <w:rFonts w:hint="default" w:ascii="Times New Roman" w:hAnsi="Times New Roman" w:eastAsia="宋体" w:cs="Times New Roman"/>
                      <w:color w:val="000000"/>
                      <w:kern w:val="0"/>
                      <w:sz w:val="21"/>
                      <w:szCs w:val="21"/>
                      <w:lang w:val="en-US" w:eastAsia="zh-CN" w:bidi="ar-SA"/>
                    </w:rPr>
                    <w:t>的的改建除外。</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-原则上禁止新建工业企业（新建工业企业原则上都应在工业园区内建设）。</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-禁止在居民区、学校、医疗和养老机构等周边新建有色金属冶炼、焦化、化工、铅蓄电池制造等行业企业，有序搬迁或依法关闭对土壤造成严重污染的现有企业。</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-禁止在长江流域河湖管理范围内倾倒、填埋、堆放、弃置、处理固体废物。</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限制开发建设活动的要求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-现有工业企业不得新增污染物排放。</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-允许企业以提升安全、生态环境保护水平为目的的改建，引导企业结合推进新型城镇化、产业结构调整和化解过剩产能等，退城入园，有序搬迁。</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-严格控制在城镇空间范围内新布设工业园区。若新布局工业园区，应符合达州市国土空间规划，并结合区域环境特点、三线成果、园区产业类别，充分论证选址的环境合理性。</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-严格控制新增建设用地规模，法定城乡规划除外</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不符合空间布局要求活动的退出要求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-现有工业企业适时进行有序退出。</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-按照相关规划和要求，清理整顿非法采砂、非法码头，全面清除不合规码头。</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-在全市范围深入开展集中整治“散乱污”工业企业，对不符合产业政策和规划布局的，一律责令停产、限期搬迁或关停；</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-有序搬迁或依法关闭对土壤造成严重污染的现有企业。</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-到2025年，城镇人口密集区现有不符合安全和卫生防护距离要求的危险化学品生产企业搬迁进入规范化工园区或关闭退出。</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-不断优化长江经济带化工行业空间布局，有效控制化工污染。推进化工企业搬迁入园，加强化工园区基础设施建设。</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其他空间布局约束要求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污染物排放管控：</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允许排放量要求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达州市2025年水污染物允许排放量COD33136.93t，氨氮2055.16t，TP252.53t；</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现有源提标升级改造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-到2025年，水环境敏感地区污水处理基本达到一级A排放标准。</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-燃气锅炉升级改造，达到特别排放限值。</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-城市污水处理厂进水生化需氧量（BOD）浓度低于100 mgL 的，要围绕服务片区管网，系统排查进水浓度偏低的原因，科学确定水质提升目标，制定并实施“一厂一策”系统化整治方案，稳步提升污水收集处理设施效能。</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其他污染物排放管控要求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新增源等量或倍量替代:-上一年度水环境质量未完成目标的，新建排放水污染的建设项目按照总量管控要求进行倍量削减替代。</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污染物排放绩效水平准入要求:严格落实建设工地管理要求，做好扬尘污染管控工作。</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-实施密闭化收运，推广干湿分类收运。强化垃圾渗滤液、焚烧飞灰安全处置，城市生活垃圾无害化处理率保持100%。</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-2030年，渠江流域用水总量控制在31.61亿m</w:t>
                  </w:r>
                  <w:r>
                    <w:rPr>
                      <w:rStyle w:val="22"/>
                      <w:rFonts w:hint="default" w:ascii="Times New Roman" w:hAnsi="Times New Roman" w:eastAsia="宋体" w:cs="Times New Roman"/>
                      <w:color w:val="000000"/>
                      <w:kern w:val="0"/>
                      <w:sz w:val="21"/>
                      <w:szCs w:val="21"/>
                      <w:vertAlign w:val="superscript"/>
                      <w:lang w:val="en-US" w:eastAsia="zh-CN" w:bidi="ar-SA"/>
                    </w:rPr>
                    <w:t>3</w:t>
                  </w:r>
                  <w:r>
                    <w:rPr>
                      <w:rStyle w:val="22"/>
                      <w:rFonts w:hint="default" w:ascii="Times New Roman" w:hAnsi="Times New Roman" w:eastAsia="宋体" w:cs="Times New Roman"/>
                      <w:color w:val="000000"/>
                      <w:kern w:val="0"/>
                      <w:sz w:val="21"/>
                      <w:szCs w:val="21"/>
                      <w:lang w:val="en-US" w:eastAsia="zh-CN" w:bidi="ar-SA"/>
                    </w:rPr>
                    <w:t>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环境风险防控：</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联防联控要求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其他环境风险防控要求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企业环境风险防控要求:现有涉及五类重金属的企业，不得新增污染物排放，限期退城入园或关停。用地环境风险防控要求:工业企业退出用地，须经评估、修复满足相应用地功能后，方可改变用途。</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资源开发利用效率要求：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水资源利用总量要求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地下水开采要求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以省市下发指标为准</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能源利用总量及效率要求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-严控使用燃煤等高污染燃料，禁止焚烧垃圾。</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-全面淘汰每小时10蒸吨以下的燃煤锅炉；在供气管网覆盖不到的其他地区，改用电、新能源或洁净煤。</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禁燃区要求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-禁燃区内禁止销售、燃用高污染燃料；禁止新建、改建、扩建燃用高污染燃料的设施和设备。</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-禁燃区内已建成的高污染燃料燃用设施由辖区人民政府制定限期改造计划，改用天然气、页岩气、液化石油气、电或其他清洁能源。</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其他资源利用效率要求</w:t>
                  </w:r>
                </w:p>
                <w:p>
                  <w:pPr>
                    <w:pStyle w:val="37"/>
                    <w:widowControl w:val="0"/>
                    <w:spacing w:line="240" w:lineRule="auto"/>
                    <w:ind w:firstLine="0" w:firstLineChars="0"/>
                    <w:jc w:val="both"/>
                    <w:rPr>
                      <w:rFonts w:hint="default" w:ascii="Times New Roman" w:hAnsi="Times New Roman" w:eastAsia="宋体" w:cs="Times New Roman"/>
                      <w:b w:val="0"/>
                      <w:bCs w:val="0"/>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tc>
              <w:tc>
                <w:tcPr>
                  <w:tcW w:w="252" w:type="pct"/>
                  <w:noWrap w:val="0"/>
                  <w:vAlign w:val="center"/>
                </w:tcPr>
                <w:p>
                  <w:pPr>
                    <w:pStyle w:val="37"/>
                    <w:widowControl/>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Style w:val="22"/>
                      <w:rFonts w:hint="default" w:ascii="Times New Roman" w:hAnsi="Times New Roman" w:eastAsia="宋体" w:cs="Times New Roman"/>
                      <w:kern w:val="2"/>
                      <w:sz w:val="21"/>
                      <w:szCs w:val="21"/>
                      <w:lang w:val="en-US" w:eastAsia="zh-CN" w:bidi="ar-SA"/>
                    </w:rPr>
                    <w:t>空间布局约束</w:t>
                  </w:r>
                </w:p>
              </w:tc>
              <w:tc>
                <w:tcPr>
                  <w:tcW w:w="1008" w:type="pct"/>
                  <w:noWrap w:val="0"/>
                  <w:vAlign w:val="center"/>
                </w:tcPr>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禁止开发建设活动的要求</w:t>
                  </w:r>
                </w:p>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执行达州市城镇重点管控单元总体要求</w:t>
                  </w:r>
                </w:p>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限制开发建设活动的要求</w:t>
                  </w:r>
                </w:p>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执行达州市城镇重点管控单元总体要求</w:t>
                  </w:r>
                </w:p>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允许开发建设活动的要求</w:t>
                  </w:r>
                </w:p>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不符合空间布局要求活动的退出要求</w:t>
                  </w:r>
                </w:p>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执行达州市城镇重点管控单元总体要求</w:t>
                  </w:r>
                </w:p>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其他空间布局约束要求</w:t>
                  </w:r>
                </w:p>
              </w:tc>
              <w:tc>
                <w:tcPr>
                  <w:tcW w:w="393" w:type="pct"/>
                  <w:noWrap w:val="0"/>
                  <w:vAlign w:val="center"/>
                </w:tcPr>
                <w:p>
                  <w:pPr>
                    <w:pStyle w:val="37"/>
                    <w:widowControl/>
                    <w:spacing w:line="240" w:lineRule="auto"/>
                    <w:ind w:firstLine="0" w:firstLineChars="0"/>
                    <w:jc w:val="center"/>
                    <w:rPr>
                      <w:rStyle w:val="22"/>
                      <w:rFonts w:hint="default" w:ascii="Times New Roman" w:hAnsi="Times New Roman" w:eastAsia="宋体" w:cs="Times New Roman"/>
                      <w:kern w:val="2"/>
                      <w:sz w:val="21"/>
                      <w:szCs w:val="21"/>
                      <w:lang w:val="en-US" w:eastAsia="zh-CN" w:bidi="ar-SA"/>
                    </w:rPr>
                  </w:pPr>
                  <w:r>
                    <w:rPr>
                      <w:rStyle w:val="22"/>
                      <w:rFonts w:hint="eastAsia" w:ascii="Times New Roman" w:hAnsi="Times New Roman" w:eastAsia="宋体" w:cs="Times New Roman"/>
                      <w:kern w:val="2"/>
                      <w:sz w:val="21"/>
                      <w:szCs w:val="21"/>
                      <w:lang w:val="en-US" w:eastAsia="zh-CN" w:bidi="ar-SA"/>
                    </w:rPr>
                    <w:t>本项目为宣汉同盛医院建设项目，不属于禁止开发、限制开发类项目。</w:t>
                  </w:r>
                </w:p>
              </w:tc>
              <w:tc>
                <w:tcPr>
                  <w:tcW w:w="265" w:type="pct"/>
                  <w:noWrap w:val="0"/>
                  <w:vAlign w:val="center"/>
                </w:tcPr>
                <w:p>
                  <w:pPr>
                    <w:pStyle w:val="37"/>
                    <w:widowControl/>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restart"/>
                  <w:noWrap w:val="0"/>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YS5117222220001</w:t>
                  </w:r>
                </w:p>
              </w:tc>
              <w:tc>
                <w:tcPr>
                  <w:tcW w:w="241" w:type="pct"/>
                  <w:vMerge w:val="restart"/>
                  <w:noWrap w:val="0"/>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州河宣汉县张鼓坪控制单元</w:t>
                  </w:r>
                </w:p>
              </w:tc>
              <w:tc>
                <w:tcPr>
                  <w:tcW w:w="2592" w:type="pct"/>
                  <w:vMerge w:val="restart"/>
                  <w:noWrap w:val="0"/>
                  <w:vAlign w:val="top"/>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空间布局约束：</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禁止开发建设活动的要求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限制开发建设活动的要求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不符合空间布局要求活动的退出要求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其他空间布局约束要求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污染物排放管控：</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允许排放量要求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现有源提标升级改造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其他污染物排放管控要求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环境风险防控：</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联防联控要求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其他环境风险防控要求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资源开发利用效率要求：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水资源利用总量要求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地下水开采要求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能源利用总量及效率要求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禁燃区要求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其他资源利用效率要求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暂无</w:t>
                  </w:r>
                </w:p>
              </w:tc>
              <w:tc>
                <w:tcPr>
                  <w:tcW w:w="252" w:type="pct"/>
                  <w:noWrap w:val="0"/>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空间布局约束</w:t>
                  </w:r>
                </w:p>
              </w:tc>
              <w:tc>
                <w:tcPr>
                  <w:tcW w:w="1008" w:type="pct"/>
                  <w:noWrap w:val="0"/>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禁止开发建设活动的要求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限制开发建设活动的要求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允许开发建设活动的要求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不符合空间布局要求活动的退出要求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其他空间布局约束要求</w:t>
                  </w:r>
                </w:p>
              </w:tc>
              <w:tc>
                <w:tcPr>
                  <w:tcW w:w="393" w:type="pct"/>
                  <w:noWrap w:val="0"/>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eastAsia" w:ascii="Times New Roman" w:hAnsi="Times New Roman" w:eastAsia="宋体" w:cs="Times New Roman"/>
                      <w:kern w:val="2"/>
                      <w:sz w:val="21"/>
                      <w:szCs w:val="21"/>
                      <w:lang w:val="en-US" w:eastAsia="zh-CN" w:bidi="ar-SA"/>
                    </w:rPr>
                    <w:t>项目不属于禁止开发、限制开发类项目</w:t>
                  </w:r>
                </w:p>
              </w:tc>
              <w:tc>
                <w:tcPr>
                  <w:tcW w:w="265" w:type="pct"/>
                  <w:noWrap w:val="0"/>
                  <w:vAlign w:val="center"/>
                </w:tcPr>
                <w:p>
                  <w:pPr>
                    <w:pStyle w:val="37"/>
                    <w:widowControl/>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continue"/>
                </w:tcPr>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p>
              </w:tc>
              <w:tc>
                <w:tcPr>
                  <w:tcW w:w="241" w:type="pct"/>
                  <w:vMerge w:val="continue"/>
                </w:tcPr>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p>
              </w:tc>
              <w:tc>
                <w:tcPr>
                  <w:tcW w:w="2592" w:type="pct"/>
                  <w:vMerge w:val="continue"/>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c>
                <w:tcPr>
                  <w:tcW w:w="252" w:type="pc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污染物排放管控</w:t>
                  </w:r>
                </w:p>
              </w:tc>
              <w:tc>
                <w:tcPr>
                  <w:tcW w:w="1008"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城镇污水污染控制措施要求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强化生活污水治理，以尾水排放去向确定排放标准，因地制宜选取治理技术及方法，加快污水处理设施建设运行，城污水城镇生活污水处理厂出水达到《城镇污水处理厂污染物排放标准》（GB18927）要求；鼓励农村生活污水实行资源化利用，排放的尾水达到《农村生活污水处理设施水污染物排放标准》要求。强化生活垃圾收集处理，推广生活垃圾分类收集处理，从源头减少处理处置量。</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工业废水污染控制措施要求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农业面源水污染控制措施要求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船舶港口水污染控制措施要求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饮用水水源和其它特殊水体保护要求</w:t>
                  </w:r>
                </w:p>
              </w:tc>
              <w:tc>
                <w:tcPr>
                  <w:tcW w:w="393"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项目废水经化粪池+一体化污水处理设施处理后达《医疗机构水污染物排放标准》（GB18466-2005）中的预处理标准后排入市政污水管网</w:t>
                  </w:r>
                </w:p>
              </w:tc>
              <w:tc>
                <w:tcPr>
                  <w:tcW w:w="265"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continue"/>
                </w:tcPr>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p>
              </w:tc>
              <w:tc>
                <w:tcPr>
                  <w:tcW w:w="241" w:type="pct"/>
                  <w:vMerge w:val="continue"/>
                </w:tcPr>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p>
              </w:tc>
              <w:tc>
                <w:tcPr>
                  <w:tcW w:w="2592" w:type="pct"/>
                  <w:vMerge w:val="continue"/>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c>
                <w:tcPr>
                  <w:tcW w:w="252" w:type="pc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环境风险防控</w:t>
                  </w:r>
                </w:p>
              </w:tc>
              <w:tc>
                <w:tcPr>
                  <w:tcW w:w="1008"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393"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项目环境风险潜势为I，评价等级为简单分析，在落实环评提出的风险防范措施后，环境风险可控</w:t>
                  </w:r>
                </w:p>
              </w:tc>
              <w:tc>
                <w:tcPr>
                  <w:tcW w:w="265"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continue"/>
                </w:tcPr>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p>
              </w:tc>
              <w:tc>
                <w:tcPr>
                  <w:tcW w:w="241" w:type="pct"/>
                  <w:vMerge w:val="continue"/>
                </w:tcPr>
                <w:p>
                  <w:pPr>
                    <w:pStyle w:val="37"/>
                    <w:widowControl/>
                    <w:spacing w:line="240" w:lineRule="auto"/>
                    <w:ind w:firstLine="0" w:firstLineChars="0"/>
                    <w:jc w:val="left"/>
                    <w:rPr>
                      <w:rStyle w:val="22"/>
                      <w:rFonts w:hint="default" w:ascii="Times New Roman" w:hAnsi="Times New Roman" w:eastAsia="宋体" w:cs="Times New Roman"/>
                      <w:kern w:val="2"/>
                      <w:sz w:val="21"/>
                      <w:szCs w:val="21"/>
                      <w:lang w:val="en-US" w:eastAsia="zh-CN" w:bidi="ar-SA"/>
                    </w:rPr>
                  </w:pPr>
                </w:p>
              </w:tc>
              <w:tc>
                <w:tcPr>
                  <w:tcW w:w="2592" w:type="pct"/>
                  <w:vMerge w:val="continue"/>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c>
                <w:tcPr>
                  <w:tcW w:w="252" w:type="pc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资源开发效率要求</w:t>
                  </w:r>
                </w:p>
              </w:tc>
              <w:tc>
                <w:tcPr>
                  <w:tcW w:w="1008"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w:t>
                  </w:r>
                </w:p>
              </w:tc>
              <w:tc>
                <w:tcPr>
                  <w:tcW w:w="393"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w:t>
                  </w:r>
                </w:p>
              </w:tc>
              <w:tc>
                <w:tcPr>
                  <w:tcW w:w="265"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restar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YS5117222340007</w:t>
                  </w:r>
                </w:p>
              </w:tc>
              <w:tc>
                <w:tcPr>
                  <w:tcW w:w="241" w:type="pct"/>
                  <w:vMerge w:val="restar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宣汉县中心城区</w:t>
                  </w:r>
                </w:p>
              </w:tc>
              <w:tc>
                <w:tcPr>
                  <w:tcW w:w="2592" w:type="pct"/>
                  <w:vMerge w:val="continue"/>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c>
                <w:tcPr>
                  <w:tcW w:w="252" w:type="pc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空间布局约束</w:t>
                  </w:r>
                </w:p>
              </w:tc>
              <w:tc>
                <w:tcPr>
                  <w:tcW w:w="1008"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禁止开发建设活动的要求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限制开发建设活动的要求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允许开发建设活动的要求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不符合空间布局要求活动的退出要求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其他空间布局约束要求</w:t>
                  </w:r>
                </w:p>
              </w:tc>
              <w:tc>
                <w:tcPr>
                  <w:tcW w:w="393"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kern w:val="2"/>
                      <w:sz w:val="21"/>
                      <w:szCs w:val="21"/>
                      <w:lang w:val="en-US" w:eastAsia="zh-CN" w:bidi="ar-SA"/>
                    </w:rPr>
                    <w:t>项目不属于禁止开发、限制开发类项目</w:t>
                  </w:r>
                </w:p>
              </w:tc>
              <w:tc>
                <w:tcPr>
                  <w:tcW w:w="265"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continue"/>
                </w:tcPr>
                <w:p>
                  <w:pPr>
                    <w:pStyle w:val="37"/>
                    <w:widowControl/>
                    <w:spacing w:line="240" w:lineRule="auto"/>
                    <w:ind w:firstLine="0" w:firstLineChars="0"/>
                    <w:jc w:val="left"/>
                    <w:rPr>
                      <w:rFonts w:hint="default" w:ascii="Times New Roman" w:hAnsi="Times New Roman" w:eastAsia="宋体" w:cs="Times New Roman"/>
                      <w:kern w:val="2"/>
                      <w:sz w:val="21"/>
                      <w:szCs w:val="21"/>
                      <w:lang w:val="en-US" w:eastAsia="zh-CN" w:bidi="ar-SA"/>
                    </w:rPr>
                  </w:pPr>
                </w:p>
              </w:tc>
              <w:tc>
                <w:tcPr>
                  <w:tcW w:w="241" w:type="pct"/>
                  <w:vMerge w:val="continue"/>
                </w:tcPr>
                <w:p>
                  <w:pPr>
                    <w:pStyle w:val="37"/>
                    <w:widowControl/>
                    <w:spacing w:line="240" w:lineRule="auto"/>
                    <w:ind w:firstLine="0" w:firstLineChars="0"/>
                    <w:jc w:val="left"/>
                    <w:rPr>
                      <w:rFonts w:hint="default" w:ascii="Times New Roman" w:hAnsi="Times New Roman" w:eastAsia="宋体" w:cs="Times New Roman"/>
                      <w:kern w:val="2"/>
                      <w:sz w:val="21"/>
                      <w:szCs w:val="21"/>
                      <w:lang w:val="en-US" w:eastAsia="zh-CN" w:bidi="ar-SA"/>
                    </w:rPr>
                  </w:pPr>
                </w:p>
              </w:tc>
              <w:tc>
                <w:tcPr>
                  <w:tcW w:w="2592" w:type="pct"/>
                  <w:vMerge w:val="continue"/>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c>
                <w:tcPr>
                  <w:tcW w:w="252" w:type="pc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污染物排放管控</w:t>
                  </w:r>
                </w:p>
              </w:tc>
              <w:tc>
                <w:tcPr>
                  <w:tcW w:w="1008"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大气环境质量执行标准</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《环境空气质量标准》（GB3095-2012）：二级</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区域大气污染物削减/替代要求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新增大气污染物排放的建设项目实施总量削减替代。</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燃煤和其他能源大气污染控制要求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工业废气污染控制要求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机动车船大气污染控制要求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扬尘污染控制要求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农业生产经营活动大气污染控制要求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重点行业企业专项治理要求</w:t>
                  </w:r>
                </w:p>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其他大气污染物排放管控要求</w:t>
                  </w:r>
                </w:p>
              </w:tc>
              <w:tc>
                <w:tcPr>
                  <w:tcW w:w="393"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本项目为宣汉同盛医院建设项目，在严格执行本报告提出的污染防治措施后，可实现污染物达标排放</w:t>
                  </w:r>
                </w:p>
              </w:tc>
              <w:tc>
                <w:tcPr>
                  <w:tcW w:w="265"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continue"/>
                </w:tcPr>
                <w:p>
                  <w:pPr>
                    <w:pStyle w:val="37"/>
                    <w:widowControl/>
                    <w:spacing w:line="240" w:lineRule="auto"/>
                    <w:ind w:firstLine="0" w:firstLineChars="0"/>
                    <w:jc w:val="left"/>
                    <w:rPr>
                      <w:rFonts w:hint="default" w:ascii="Times New Roman" w:hAnsi="Times New Roman" w:eastAsia="宋体" w:cs="Times New Roman"/>
                      <w:kern w:val="2"/>
                      <w:sz w:val="21"/>
                      <w:szCs w:val="21"/>
                      <w:lang w:val="en-US" w:eastAsia="zh-CN" w:bidi="ar-SA"/>
                    </w:rPr>
                  </w:pPr>
                </w:p>
              </w:tc>
              <w:tc>
                <w:tcPr>
                  <w:tcW w:w="241" w:type="pct"/>
                  <w:vMerge w:val="continue"/>
                </w:tcPr>
                <w:p>
                  <w:pPr>
                    <w:pStyle w:val="37"/>
                    <w:widowControl/>
                    <w:spacing w:line="240" w:lineRule="auto"/>
                    <w:ind w:firstLine="0" w:firstLineChars="0"/>
                    <w:jc w:val="left"/>
                    <w:rPr>
                      <w:rFonts w:hint="default" w:ascii="Times New Roman" w:hAnsi="Times New Roman" w:eastAsia="宋体" w:cs="Times New Roman"/>
                      <w:kern w:val="2"/>
                      <w:sz w:val="21"/>
                      <w:szCs w:val="21"/>
                      <w:lang w:val="en-US" w:eastAsia="zh-CN" w:bidi="ar-SA"/>
                    </w:rPr>
                  </w:pPr>
                </w:p>
              </w:tc>
              <w:tc>
                <w:tcPr>
                  <w:tcW w:w="2592" w:type="pct"/>
                  <w:vMerge w:val="continue"/>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c>
                <w:tcPr>
                  <w:tcW w:w="252" w:type="pc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环境风险防控</w:t>
                  </w:r>
                </w:p>
              </w:tc>
              <w:tc>
                <w:tcPr>
                  <w:tcW w:w="1008"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现有涉及五类重金属的企业，不得新增污染物排放，限期退城入园或关停；工业企业退出用地，须经评估、修复满足相应用地功能后，方可改变用途</w:t>
                  </w:r>
                </w:p>
              </w:tc>
              <w:tc>
                <w:tcPr>
                  <w:tcW w:w="393"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项目不涉及重金属排放</w:t>
                  </w:r>
                </w:p>
              </w:tc>
              <w:tc>
                <w:tcPr>
                  <w:tcW w:w="265"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Merge w:val="continue"/>
                </w:tcPr>
                <w:p>
                  <w:pPr>
                    <w:pStyle w:val="37"/>
                    <w:widowControl/>
                    <w:spacing w:line="240" w:lineRule="auto"/>
                    <w:ind w:firstLine="0" w:firstLineChars="0"/>
                    <w:jc w:val="left"/>
                    <w:rPr>
                      <w:rFonts w:hint="default" w:ascii="Times New Roman" w:hAnsi="Times New Roman" w:eastAsia="宋体" w:cs="Times New Roman"/>
                      <w:kern w:val="2"/>
                      <w:sz w:val="21"/>
                      <w:szCs w:val="21"/>
                      <w:lang w:val="en-US" w:eastAsia="zh-CN" w:bidi="ar-SA"/>
                    </w:rPr>
                  </w:pPr>
                </w:p>
              </w:tc>
              <w:tc>
                <w:tcPr>
                  <w:tcW w:w="241" w:type="pct"/>
                  <w:vMerge w:val="continue"/>
                </w:tcPr>
                <w:p>
                  <w:pPr>
                    <w:pStyle w:val="37"/>
                    <w:widowControl/>
                    <w:spacing w:line="240" w:lineRule="auto"/>
                    <w:ind w:firstLine="0" w:firstLineChars="0"/>
                    <w:jc w:val="left"/>
                    <w:rPr>
                      <w:rFonts w:hint="default" w:ascii="Times New Roman" w:hAnsi="Times New Roman" w:eastAsia="宋体" w:cs="Times New Roman"/>
                      <w:kern w:val="2"/>
                      <w:sz w:val="21"/>
                      <w:szCs w:val="21"/>
                      <w:lang w:val="en-US" w:eastAsia="zh-CN" w:bidi="ar-SA"/>
                    </w:rPr>
                  </w:pPr>
                </w:p>
              </w:tc>
              <w:tc>
                <w:tcPr>
                  <w:tcW w:w="2592" w:type="pct"/>
                  <w:vMerge w:val="continue"/>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p>
              </w:tc>
              <w:tc>
                <w:tcPr>
                  <w:tcW w:w="252" w:type="pct"/>
                  <w:vAlign w:val="center"/>
                </w:tcPr>
                <w:p>
                  <w:pPr>
                    <w:pStyle w:val="3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2"/>
                      <w:rFonts w:hint="default" w:ascii="Times New Roman" w:hAnsi="Times New Roman" w:eastAsia="宋体" w:cs="Times New Roman"/>
                      <w:kern w:val="2"/>
                      <w:sz w:val="21"/>
                      <w:szCs w:val="21"/>
                      <w:lang w:val="en-US" w:eastAsia="zh-CN" w:bidi="ar-SA"/>
                    </w:rPr>
                    <w:t>资源开发效率要求</w:t>
                  </w:r>
                </w:p>
              </w:tc>
              <w:tc>
                <w:tcPr>
                  <w:tcW w:w="1008" w:type="pct"/>
                  <w:vAlign w:val="center"/>
                </w:tcPr>
                <w:p>
                  <w:pPr>
                    <w:pStyle w:val="37"/>
                    <w:widowControl w:val="0"/>
                    <w:spacing w:line="240" w:lineRule="auto"/>
                    <w:ind w:firstLine="0" w:firstLineChars="0"/>
                    <w:jc w:val="both"/>
                    <w:rPr>
                      <w:rStyle w:val="22"/>
                      <w:rFonts w:hint="default" w:ascii="Times New Roman" w:hAnsi="Times New Roman" w:eastAsia="宋体" w:cs="Times New Roman"/>
                      <w:color w:val="000000"/>
                      <w:kern w:val="0"/>
                      <w:sz w:val="21"/>
                      <w:szCs w:val="21"/>
                      <w:lang w:val="en-US" w:eastAsia="zh-CN" w:bidi="ar-SA"/>
                    </w:rPr>
                  </w:pPr>
                  <w:r>
                    <w:rPr>
                      <w:rStyle w:val="22"/>
                      <w:rFonts w:hint="default" w:ascii="Times New Roman" w:hAnsi="Times New Roman" w:eastAsia="宋体" w:cs="Times New Roman"/>
                      <w:color w:val="000000"/>
                      <w:kern w:val="0"/>
                      <w:sz w:val="21"/>
                      <w:szCs w:val="21"/>
                      <w:lang w:val="en-US" w:eastAsia="zh-CN" w:bidi="ar-SA"/>
                    </w:rPr>
                    <w:t>/</w:t>
                  </w:r>
                </w:p>
              </w:tc>
              <w:tc>
                <w:tcPr>
                  <w:tcW w:w="393"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w:t>
                  </w:r>
                </w:p>
              </w:tc>
              <w:tc>
                <w:tcPr>
                  <w:tcW w:w="265" w:type="pct"/>
                  <w:vAlign w:val="center"/>
                </w:tcPr>
                <w:p>
                  <w:pPr>
                    <w:pStyle w:val="37"/>
                    <w:widowControl w:val="0"/>
                    <w:spacing w:line="240" w:lineRule="auto"/>
                    <w:ind w:firstLine="0" w:firstLineChars="0"/>
                    <w:jc w:val="center"/>
                    <w:rPr>
                      <w:rStyle w:val="22"/>
                      <w:rFonts w:hint="default" w:ascii="Times New Roman" w:hAnsi="Times New Roman" w:eastAsia="宋体" w:cs="Times New Roman"/>
                      <w:color w:val="000000"/>
                      <w:kern w:val="0"/>
                      <w:sz w:val="21"/>
                      <w:szCs w:val="21"/>
                      <w:lang w:val="en-US" w:eastAsia="zh-CN" w:bidi="ar-SA"/>
                    </w:rPr>
                  </w:pPr>
                  <w:r>
                    <w:rPr>
                      <w:rStyle w:val="22"/>
                      <w:rFonts w:hint="eastAsia" w:ascii="Times New Roman" w:hAnsi="Times New Roman" w:eastAsia="宋体" w:cs="Times New Roman"/>
                      <w:color w:val="000000"/>
                      <w:kern w:val="0"/>
                      <w:sz w:val="21"/>
                      <w:szCs w:val="21"/>
                      <w:lang w:val="en-US" w:eastAsia="zh-CN" w:bidi="ar-SA"/>
                    </w:rPr>
                    <w:t>/</w:t>
                  </w:r>
                </w:p>
              </w:tc>
            </w:tr>
          </w:tbl>
          <w:p>
            <w:pPr>
              <w:autoSpaceDE w:val="0"/>
              <w:autoSpaceDN w:val="0"/>
              <w:adjustRightInd w:val="0"/>
              <w:snapToGrid w:val="0"/>
              <w:spacing w:line="360" w:lineRule="auto"/>
              <w:ind w:firstLine="480" w:firstLineChars="200"/>
              <w:rPr>
                <w:rFonts w:hint="default"/>
                <w:b w:val="0"/>
                <w:bCs/>
                <w:color w:val="auto"/>
                <w:sz w:val="24"/>
                <w:highlight w:val="none"/>
                <w:lang w:val="en-US" w:eastAsia="zh-CN" w:bidi="en-US"/>
              </w:rPr>
            </w:pPr>
            <w:r>
              <w:rPr>
                <w:rFonts w:hint="eastAsia"/>
                <w:b w:val="0"/>
                <w:bCs/>
                <w:color w:val="auto"/>
                <w:sz w:val="24"/>
                <w:highlight w:val="none"/>
                <w:lang w:val="en-US" w:eastAsia="zh-CN" w:bidi="en-US"/>
              </w:rPr>
              <w:t>因此，</w:t>
            </w:r>
            <w:r>
              <w:rPr>
                <w:rFonts w:hint="default"/>
                <w:b w:val="0"/>
                <w:bCs/>
                <w:color w:val="auto"/>
                <w:sz w:val="24"/>
                <w:highlight w:val="none"/>
                <w:lang w:val="en-US" w:eastAsia="zh-CN" w:bidi="en-US"/>
              </w:rPr>
              <w:t>本项目</w:t>
            </w:r>
            <w:r>
              <w:rPr>
                <w:rFonts w:hint="eastAsia"/>
                <w:bCs/>
                <w:color w:val="auto"/>
                <w:sz w:val="24"/>
                <w:highlight w:val="none"/>
                <w:lang w:val="en-US" w:eastAsia="zh-CN" w:bidi="en-US"/>
              </w:rPr>
              <w:t>与达州市生态环境准入清单普适性管控要求和宣汉县城镇重点环境管控单元准入清单的要求相符。</w:t>
            </w:r>
          </w:p>
          <w:p>
            <w:pPr>
              <w:autoSpaceDE w:val="0"/>
              <w:autoSpaceDN w:val="0"/>
              <w:adjustRightInd w:val="0"/>
              <w:snapToGrid w:val="0"/>
              <w:spacing w:line="360" w:lineRule="auto"/>
              <w:ind w:firstLine="482" w:firstLineChars="200"/>
              <w:rPr>
                <w:rFonts w:hint="eastAsia" w:eastAsia="黑体" w:cs="Times New Roman"/>
                <w:b w:val="0"/>
                <w:color w:val="auto"/>
                <w:sz w:val="30"/>
                <w:szCs w:val="30"/>
                <w:highlight w:val="none"/>
                <w:vertAlign w:val="baseline"/>
                <w:lang w:eastAsia="zh-CN"/>
              </w:rPr>
            </w:pPr>
            <w:r>
              <w:rPr>
                <w:rFonts w:hint="default"/>
                <w:b/>
                <w:bCs w:val="0"/>
                <w:color w:val="auto"/>
                <w:sz w:val="24"/>
                <w:highlight w:val="none"/>
                <w:lang w:val="en-US" w:eastAsia="zh-CN" w:bidi="en-US"/>
              </w:rPr>
              <w:t>综上，经过与“三线一单”进行对照后，项目不在生态保护红线内、未超出环境质量底线及资源利用上线、未列入环境准入负面清单内，本项目与“三线一单”的相关要求是相符的</w:t>
            </w:r>
            <w:r>
              <w:rPr>
                <w:rFonts w:hint="eastAsia"/>
                <w:b/>
                <w:bCs w:val="0"/>
                <w:color w:val="auto"/>
                <w:sz w:val="24"/>
                <w:highlight w:val="none"/>
                <w:lang w:val="en-US" w:eastAsia="zh-CN" w:bidi="en-US"/>
              </w:rPr>
              <w:t>。</w:t>
            </w:r>
          </w:p>
        </w:tc>
      </w:tr>
    </w:tbl>
    <w:p>
      <w:pPr>
        <w:pStyle w:val="28"/>
        <w:pageBreakBefore w:val="0"/>
        <w:kinsoku/>
        <w:wordWrap/>
        <w:bidi w:val="0"/>
        <w:spacing w:line="360" w:lineRule="auto"/>
        <w:ind w:left="0" w:leftChars="0" w:right="0"/>
        <w:jc w:val="center"/>
        <w:outlineLvl w:val="9"/>
        <w:rPr>
          <w:rFonts w:hint="eastAsia" w:eastAsia="黑体" w:cs="Times New Roman"/>
          <w:b w:val="0"/>
          <w:color w:val="auto"/>
          <w:sz w:val="30"/>
          <w:szCs w:val="30"/>
          <w:highlight w:val="none"/>
          <w:lang w:eastAsia="zh-CN"/>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vAlign w:val="top"/>
          </w:tcPr>
          <w:p>
            <w:pPr>
              <w:autoSpaceDE w:val="0"/>
              <w:autoSpaceDN w:val="0"/>
              <w:adjustRightInd w:val="0"/>
              <w:snapToGrid w:val="0"/>
              <w:spacing w:line="360" w:lineRule="auto"/>
              <w:jc w:val="center"/>
              <w:rPr>
                <w:rFonts w:hint="eastAsia" w:ascii="Times New Roman" w:hAnsi="Times New Roman" w:eastAsia="宋体" w:cs="Times New Roman"/>
                <w:color w:val="auto"/>
                <w:kern w:val="0"/>
                <w:sz w:val="24"/>
                <w:szCs w:val="21"/>
                <w:highlight w:val="none"/>
                <w:lang w:val="en-US" w:eastAsia="zh-CN" w:bidi="ar-SA"/>
              </w:rPr>
            </w:pPr>
            <w:r>
              <w:rPr>
                <w:rFonts w:ascii="Times New Roman" w:hAnsi="Times New Roman" w:eastAsia="宋体" w:cs="Times New Roman"/>
                <w:color w:val="auto"/>
                <w:kern w:val="0"/>
                <w:sz w:val="24"/>
                <w:highlight w:val="none"/>
              </w:rPr>
              <w:t>其他符合性分析</w:t>
            </w:r>
          </w:p>
        </w:tc>
        <w:tc>
          <w:tcPr>
            <w:tcW w:w="4819" w:type="pct"/>
          </w:tcPr>
          <w:p>
            <w:pPr>
              <w:autoSpaceDE w:val="0"/>
              <w:autoSpaceDN w:val="0"/>
              <w:adjustRightInd w:val="0"/>
              <w:snapToGrid w:val="0"/>
              <w:spacing w:line="360" w:lineRule="auto"/>
              <w:ind w:firstLine="482" w:firstLineChars="200"/>
              <w:rPr>
                <w:rFonts w:hint="eastAsia"/>
                <w:b/>
                <w:color w:val="auto"/>
                <w:sz w:val="24"/>
                <w:highlight w:val="none"/>
                <w:lang w:bidi="en-US"/>
              </w:rPr>
            </w:pPr>
            <w:r>
              <w:rPr>
                <w:rFonts w:hint="eastAsia"/>
                <w:b/>
                <w:color w:val="auto"/>
                <w:sz w:val="24"/>
                <w:highlight w:val="none"/>
                <w:lang w:val="en-US" w:eastAsia="zh-CN" w:bidi="en-US"/>
              </w:rPr>
              <w:t>5、与《四川省 重庆市长江经济带发展负面清单实施细则》符合性分析</w:t>
            </w:r>
          </w:p>
          <w:p>
            <w:pPr>
              <w:autoSpaceDE w:val="0"/>
              <w:autoSpaceDN w:val="0"/>
              <w:adjustRightInd w:val="0"/>
              <w:snapToGrid w:val="0"/>
              <w:spacing w:line="360" w:lineRule="auto"/>
              <w:ind w:firstLine="480" w:firstLineChars="200"/>
              <w:rPr>
                <w:rFonts w:hint="eastAsia"/>
                <w:b w:val="0"/>
                <w:bCs/>
                <w:color w:val="auto"/>
                <w:sz w:val="24"/>
                <w:highlight w:val="none"/>
                <w:lang w:val="en-US" w:eastAsia="zh-CN" w:bidi="en-US"/>
              </w:rPr>
            </w:pPr>
            <w:r>
              <w:rPr>
                <w:rFonts w:hint="eastAsia"/>
                <w:b w:val="0"/>
                <w:bCs/>
                <w:color w:val="auto"/>
                <w:sz w:val="24"/>
                <w:highlight w:val="none"/>
                <w:lang w:val="en-US" w:eastAsia="zh-CN" w:bidi="en-US"/>
              </w:rPr>
              <w:t>与四川省推动长江经济带发展领导小组办公室重庆市推动长江经济带发展领导小组办公室关于印发《四川省、重庆市长江经济带发展负面清单实施细则（试行，2022年版）》的通知（川长江办</w:t>
            </w:r>
            <w:r>
              <w:rPr>
                <w:rFonts w:hint="eastAsia"/>
                <w:b w:val="0"/>
                <w:bCs/>
                <w:color w:val="auto"/>
                <w:sz w:val="24"/>
                <w:highlight w:val="none"/>
                <w:lang w:bidi="en-US"/>
              </w:rPr>
              <w:t>〔20</w:t>
            </w:r>
            <w:r>
              <w:rPr>
                <w:rFonts w:hint="eastAsia"/>
                <w:b w:val="0"/>
                <w:bCs/>
                <w:color w:val="auto"/>
                <w:sz w:val="24"/>
                <w:highlight w:val="none"/>
                <w:lang w:val="en-US" w:eastAsia="zh-CN" w:bidi="en-US"/>
              </w:rPr>
              <w:t>22</w:t>
            </w:r>
            <w:r>
              <w:rPr>
                <w:rFonts w:hint="eastAsia"/>
                <w:b w:val="0"/>
                <w:bCs/>
                <w:color w:val="auto"/>
                <w:sz w:val="24"/>
                <w:highlight w:val="none"/>
                <w:lang w:bidi="en-US"/>
              </w:rPr>
              <w:t>〕</w:t>
            </w:r>
            <w:r>
              <w:rPr>
                <w:rFonts w:hint="eastAsia"/>
                <w:b w:val="0"/>
                <w:bCs/>
                <w:color w:val="auto"/>
                <w:sz w:val="24"/>
                <w:highlight w:val="none"/>
                <w:lang w:val="en-US" w:eastAsia="zh-CN" w:bidi="en-US"/>
              </w:rPr>
              <w:t>17号）的符合性分析</w:t>
            </w:r>
          </w:p>
          <w:p>
            <w:pPr>
              <w:autoSpaceDE w:val="0"/>
              <w:autoSpaceDN w:val="0"/>
              <w:adjustRightInd w:val="0"/>
              <w:snapToGrid w:val="0"/>
              <w:spacing w:line="360" w:lineRule="auto"/>
              <w:jc w:val="center"/>
              <w:rPr>
                <w:rFonts w:hint="eastAsia" w:ascii="黑体" w:hAnsi="黑体" w:eastAsia="黑体" w:cs="黑体"/>
                <w:bCs/>
                <w:color w:val="auto"/>
                <w:szCs w:val="18"/>
                <w:highlight w:val="none"/>
                <w:lang w:bidi="en-US"/>
              </w:rPr>
            </w:pPr>
            <w:r>
              <w:rPr>
                <w:rFonts w:hint="eastAsia" w:ascii="黑体" w:hAnsi="黑体" w:eastAsia="黑体" w:cs="黑体"/>
                <w:bCs/>
                <w:color w:val="auto"/>
                <w:szCs w:val="18"/>
                <w:highlight w:val="none"/>
                <w:lang w:bidi="en-US"/>
              </w:rPr>
              <w:t>表1</w:t>
            </w:r>
            <w:r>
              <w:rPr>
                <w:rFonts w:hint="eastAsia" w:ascii="黑体" w:hAnsi="黑体" w:eastAsia="黑体" w:cs="黑体"/>
                <w:bCs/>
                <w:color w:val="auto"/>
                <w:szCs w:val="18"/>
                <w:highlight w:val="none"/>
                <w:lang w:val="en-US" w:eastAsia="zh-CN" w:bidi="en-US"/>
              </w:rPr>
              <w:t xml:space="preserve">-4  </w:t>
            </w:r>
            <w:r>
              <w:rPr>
                <w:rFonts w:hint="eastAsia" w:ascii="黑体" w:hAnsi="黑体" w:eastAsia="黑体" w:cs="黑体"/>
                <w:bCs/>
                <w:color w:val="auto"/>
                <w:szCs w:val="18"/>
                <w:highlight w:val="none"/>
                <w:lang w:bidi="en-US"/>
              </w:rPr>
              <w:t>本项目与“</w:t>
            </w:r>
            <w:r>
              <w:rPr>
                <w:rFonts w:hint="eastAsia" w:ascii="黑体" w:hAnsi="黑体" w:eastAsia="黑体" w:cs="黑体"/>
                <w:bCs/>
                <w:color w:val="auto"/>
                <w:szCs w:val="18"/>
                <w:highlight w:val="none"/>
                <w:lang w:val="en-US" w:eastAsia="zh-CN" w:bidi="en-US"/>
              </w:rPr>
              <w:t>川长江办</w:t>
            </w:r>
            <w:r>
              <w:rPr>
                <w:rFonts w:hint="eastAsia" w:ascii="黑体" w:hAnsi="黑体" w:eastAsia="黑体" w:cs="黑体"/>
                <w:bCs/>
                <w:color w:val="auto"/>
                <w:szCs w:val="18"/>
                <w:highlight w:val="none"/>
                <w:lang w:bidi="en-US"/>
              </w:rPr>
              <w:t>〔20</w:t>
            </w:r>
            <w:r>
              <w:rPr>
                <w:rFonts w:hint="eastAsia" w:ascii="黑体" w:hAnsi="黑体" w:eastAsia="黑体" w:cs="黑体"/>
                <w:bCs/>
                <w:color w:val="auto"/>
                <w:szCs w:val="18"/>
                <w:highlight w:val="none"/>
                <w:lang w:val="en-US" w:eastAsia="zh-CN" w:bidi="en-US"/>
              </w:rPr>
              <w:t>22</w:t>
            </w:r>
            <w:r>
              <w:rPr>
                <w:rFonts w:hint="eastAsia" w:ascii="黑体" w:hAnsi="黑体" w:eastAsia="黑体" w:cs="黑体"/>
                <w:bCs/>
                <w:color w:val="auto"/>
                <w:szCs w:val="18"/>
                <w:highlight w:val="none"/>
                <w:lang w:bidi="en-US"/>
              </w:rPr>
              <w:t>〕</w:t>
            </w:r>
            <w:r>
              <w:rPr>
                <w:rFonts w:hint="eastAsia" w:ascii="黑体" w:hAnsi="黑体" w:eastAsia="黑体" w:cs="黑体"/>
                <w:bCs/>
                <w:color w:val="auto"/>
                <w:szCs w:val="18"/>
                <w:highlight w:val="none"/>
                <w:lang w:val="en-US" w:eastAsia="zh-CN" w:bidi="en-US"/>
              </w:rPr>
              <w:t>17号</w:t>
            </w:r>
            <w:r>
              <w:rPr>
                <w:rFonts w:hint="eastAsia" w:ascii="黑体" w:hAnsi="黑体" w:eastAsia="黑体" w:cs="黑体"/>
                <w:bCs/>
                <w:color w:val="auto"/>
                <w:szCs w:val="18"/>
                <w:highlight w:val="none"/>
                <w:lang w:bidi="en-US"/>
              </w:rPr>
              <w:t>”的符合性分析</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54"/>
              <w:gridCol w:w="6559"/>
              <w:gridCol w:w="1199"/>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原文内容</w:t>
                  </w:r>
                </w:p>
              </w:tc>
              <w:tc>
                <w:tcPr>
                  <w:tcW w:w="64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项目情况</w:t>
                  </w: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第九条禁止在饮用水水源准保护区的岸线和河段范围内新建、扩建对水体污染严重的建设项目，禁止改建增加排污量的建设</w:t>
                  </w:r>
                  <w:r>
                    <w:rPr>
                      <w:rFonts w:hint="eastAsia" w:ascii="Times New Roman" w:hAnsi="Times New Roman" w:eastAsia="宋体" w:cs="Times New Roman"/>
                      <w:bCs/>
                      <w:color w:val="auto"/>
                      <w:sz w:val="21"/>
                      <w:szCs w:val="21"/>
                      <w:highlight w:val="none"/>
                      <w:lang w:val="en-US" w:eastAsia="zh-CN"/>
                    </w:rPr>
                    <w:t>项目。</w:t>
                  </w:r>
                </w:p>
              </w:tc>
              <w:tc>
                <w:tcPr>
                  <w:tcW w:w="646"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b w:val="0"/>
                      <w:bCs/>
                      <w:color w:val="auto"/>
                      <w:szCs w:val="21"/>
                      <w:highlight w:val="none"/>
                      <w:lang w:val="en-US" w:eastAsia="zh-CN"/>
                    </w:rPr>
                    <w:t>本项目为综合医院建设项目，位于宣汉县蒲江街道骏杰汽贸园二号楼，</w:t>
                  </w:r>
                  <w:r>
                    <w:rPr>
                      <w:rFonts w:hint="eastAsia" w:cs="Times New Roman"/>
                      <w:color w:val="auto"/>
                      <w:szCs w:val="21"/>
                      <w:highlight w:val="none"/>
                      <w:lang w:val="en-US" w:eastAsia="zh-CN"/>
                    </w:rPr>
                    <w:t>未在饮用水水源准保护区的岸线和河段范围内，不属于高污染项目，不属于淘汰类和限制类项目，不属于</w:t>
                  </w:r>
                  <w:r>
                    <w:rPr>
                      <w:rFonts w:hint="default" w:ascii="Times New Roman" w:hAnsi="Times New Roman" w:eastAsia="宋体" w:cs="Times New Roman"/>
                      <w:bCs/>
                      <w:color w:val="auto"/>
                      <w:sz w:val="21"/>
                      <w:szCs w:val="21"/>
                      <w:highlight w:val="none"/>
                    </w:rPr>
                    <w:t>高耗能、高排放、低水平项目</w:t>
                  </w:r>
                  <w:r>
                    <w:rPr>
                      <w:rFonts w:hint="eastAsia" w:ascii="Times New Roman" w:hAnsi="Times New Roman" w:cs="Times New Roman"/>
                      <w:bCs/>
                      <w:color w:val="auto"/>
                      <w:sz w:val="21"/>
                      <w:szCs w:val="21"/>
                      <w:highlight w:val="none"/>
                      <w:lang w:eastAsia="zh-CN"/>
                    </w:rPr>
                    <w:t>。</w:t>
                  </w: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第十条饮用水水源二级保护区的岸线和河段范围内，除遵守准保护区规定外，禁止新建、改建、扩建排放污染物的投资建设项目</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禁止从事对水体有污染的水产养殖等活动。</w:t>
                  </w: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第十六条禁止在长江流域江河、湖泊新设、改设或者扩大排污口，经有管辖权的生态环境主管部门或者长江流域生态环境监督管理机构同意的除外。</w:t>
                  </w: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第十八条禁止在长江于支流、重要湖泊岸线一公里范围内新建、扩建化工园区和化工</w:t>
                  </w:r>
                  <w:r>
                    <w:rPr>
                      <w:rFonts w:hint="eastAsia" w:ascii="Times New Roman" w:hAnsi="Times New Roman" w:eastAsia="宋体" w:cs="Times New Roman"/>
                      <w:bCs/>
                      <w:color w:val="auto"/>
                      <w:sz w:val="21"/>
                      <w:szCs w:val="21"/>
                      <w:highlight w:val="none"/>
                      <w:lang w:val="en-US" w:eastAsia="zh-CN"/>
                    </w:rPr>
                    <w:t>项目</w:t>
                  </w:r>
                  <w:r>
                    <w:rPr>
                      <w:rFonts w:hint="default" w:ascii="Times New Roman" w:hAnsi="Times New Roman" w:eastAsia="宋体" w:cs="Times New Roman"/>
                      <w:bCs/>
                      <w:color w:val="auto"/>
                      <w:sz w:val="21"/>
                      <w:szCs w:val="21"/>
                      <w:highlight w:val="none"/>
                      <w:lang w:val="en-US" w:eastAsia="zh-CN"/>
                    </w:rPr>
                    <w:t>。</w:t>
                  </w: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第十九条、禁止在长江干流岸线三公里范围内和重要支流岸线一公里范围内新建、改建、扩建尾矿库、冶炼渣库、磷石膏库，以提升安全、生态环境保护水平为目的的改建除外。</w:t>
                  </w: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第二十一条禁止在合规园区外新建、扩建钢铁、石化、化工、焦化、建材、有色、制浆造纸等高污染项目。</w:t>
                  </w: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第二十三条禁止新建、扩建法律法规和相关政策明令禁止的落后产能项目。对《产业结构调整指导目录》中淘汰类项目，禁止投资</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限制类的新建项目，禁止投资，对属于限制类的现有生产能力，允许企业在一定期限内采取措施改造升级。</w:t>
                  </w: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c>
                <w:tcPr>
                  <w:tcW w:w="353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第二十六条禁止新建、扩建不符合要求的高耗能、高排放、低水平项目。</w:t>
                  </w:r>
                </w:p>
              </w:tc>
              <w:tc>
                <w:tcPr>
                  <w:tcW w:w="64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p>
              </w:tc>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autoSpaceDE w:val="0"/>
              <w:autoSpaceDN w:val="0"/>
              <w:adjustRightInd w:val="0"/>
              <w:snapToGrid w:val="0"/>
              <w:spacing w:line="360" w:lineRule="auto"/>
              <w:ind w:firstLine="482" w:firstLineChars="200"/>
              <w:rPr>
                <w:rFonts w:hint="default"/>
                <w:b/>
                <w:bCs w:val="0"/>
                <w:color w:val="auto"/>
                <w:sz w:val="24"/>
                <w:highlight w:val="none"/>
                <w:lang w:val="en-US" w:eastAsia="zh-CN" w:bidi="en-US"/>
              </w:rPr>
            </w:pPr>
            <w:r>
              <w:rPr>
                <w:rFonts w:hint="eastAsia"/>
                <w:b/>
                <w:bCs w:val="0"/>
                <w:color w:val="auto"/>
                <w:sz w:val="24"/>
                <w:highlight w:val="none"/>
                <w:lang w:val="en-US" w:eastAsia="zh-CN" w:bidi="en-US"/>
              </w:rPr>
              <w:t>6、选址合理性及环境相容性分析</w:t>
            </w:r>
          </w:p>
          <w:p>
            <w:pPr>
              <w:autoSpaceDE w:val="0"/>
              <w:autoSpaceDN w:val="0"/>
              <w:adjustRightInd w:val="0"/>
              <w:snapToGrid w:val="0"/>
              <w:spacing w:line="360" w:lineRule="auto"/>
              <w:ind w:firstLine="482" w:firstLineChars="200"/>
              <w:rPr>
                <w:rFonts w:hint="default"/>
                <w:b/>
                <w:bCs w:val="0"/>
                <w:color w:val="auto"/>
                <w:sz w:val="24"/>
                <w:highlight w:val="none"/>
                <w:lang w:val="en-US" w:eastAsia="zh-CN" w:bidi="en-US"/>
              </w:rPr>
            </w:pPr>
            <w:r>
              <w:rPr>
                <w:rFonts w:hint="eastAsia"/>
                <w:b/>
                <w:bCs w:val="0"/>
                <w:color w:val="auto"/>
                <w:sz w:val="24"/>
                <w:highlight w:val="none"/>
                <w:lang w:val="en-US" w:eastAsia="zh-CN" w:bidi="en-US"/>
              </w:rPr>
              <w:t>（1）外环境对本项目的影响</w:t>
            </w:r>
          </w:p>
          <w:p>
            <w:pPr>
              <w:autoSpaceDE w:val="0"/>
              <w:autoSpaceDN w:val="0"/>
              <w:adjustRightInd w:val="0"/>
              <w:snapToGrid w:val="0"/>
              <w:spacing w:line="360" w:lineRule="auto"/>
              <w:ind w:firstLine="480" w:firstLineChars="200"/>
              <w:rPr>
                <w:rFonts w:hint="default"/>
                <w:b w:val="0"/>
                <w:bCs/>
                <w:color w:val="auto"/>
                <w:sz w:val="24"/>
                <w:highlight w:val="none"/>
                <w:lang w:val="en-US" w:eastAsia="zh-CN" w:bidi="en-US"/>
              </w:rPr>
            </w:pPr>
            <w:r>
              <w:rPr>
                <w:rFonts w:hint="eastAsia"/>
                <w:b w:val="0"/>
                <w:bCs/>
                <w:color w:val="auto"/>
                <w:sz w:val="24"/>
                <w:highlight w:val="none"/>
                <w:lang w:val="en-US" w:eastAsia="zh-CN" w:bidi="en-US"/>
              </w:rPr>
              <w:t>本项目租赁四川省达州市宣汉县蒲江街道骏杰汽贸园二号楼建设项目住院部（-1F~7F）、发热门诊、业务楼。项目地理位置图见附图1。</w:t>
            </w:r>
          </w:p>
          <w:p>
            <w:pPr>
              <w:autoSpaceDE w:val="0"/>
              <w:autoSpaceDN w:val="0"/>
              <w:adjustRightInd w:val="0"/>
              <w:snapToGrid w:val="0"/>
              <w:spacing w:line="360" w:lineRule="auto"/>
              <w:ind w:firstLine="480" w:firstLineChars="200"/>
              <w:rPr>
                <w:rFonts w:hint="default"/>
                <w:b w:val="0"/>
                <w:bCs/>
                <w:color w:val="auto"/>
                <w:sz w:val="24"/>
                <w:highlight w:val="none"/>
                <w:lang w:val="en-US" w:eastAsia="zh-CN" w:bidi="en-US"/>
              </w:rPr>
            </w:pPr>
            <w:r>
              <w:rPr>
                <w:rFonts w:hint="eastAsia"/>
                <w:b w:val="0"/>
                <w:bCs/>
                <w:color w:val="auto"/>
                <w:sz w:val="24"/>
                <w:highlight w:val="none"/>
                <w:lang w:val="en-US" w:eastAsia="zh-CN" w:bidi="en-US"/>
              </w:rPr>
              <w:t>项目</w:t>
            </w:r>
            <w:r>
              <w:rPr>
                <w:rFonts w:hint="eastAsia"/>
                <w:b/>
                <w:bCs w:val="0"/>
                <w:color w:val="auto"/>
                <w:sz w:val="24"/>
                <w:highlight w:val="none"/>
                <w:lang w:val="en-US" w:eastAsia="zh-CN" w:bidi="en-US"/>
              </w:rPr>
              <w:t>住院部北侧</w:t>
            </w:r>
            <w:r>
              <w:rPr>
                <w:rFonts w:hint="eastAsia"/>
                <w:b w:val="0"/>
                <w:bCs/>
                <w:color w:val="auto"/>
                <w:sz w:val="24"/>
                <w:highlight w:val="none"/>
                <w:lang w:val="en-US" w:eastAsia="zh-CN" w:bidi="en-US"/>
              </w:rPr>
              <w:t>约20m处为永安大道（X169），约50m处为宣汉汽车站，约240m处为达州市鑫丰机电设备有限公司，约270m处为宣汉国有林场棚改小区，约320m处为宣汉县当门坝廉租房B区；项目</w:t>
            </w:r>
            <w:r>
              <w:rPr>
                <w:rFonts w:hint="eastAsia"/>
                <w:b/>
                <w:bCs w:val="0"/>
                <w:color w:val="auto"/>
                <w:sz w:val="24"/>
                <w:highlight w:val="none"/>
                <w:lang w:val="en-US" w:eastAsia="zh-CN" w:bidi="en-US"/>
              </w:rPr>
              <w:t>住院部西北侧</w:t>
            </w:r>
            <w:r>
              <w:rPr>
                <w:rFonts w:hint="eastAsia"/>
                <w:b w:val="0"/>
                <w:bCs/>
                <w:color w:val="auto"/>
                <w:sz w:val="24"/>
                <w:highlight w:val="none"/>
                <w:lang w:val="en-US" w:eastAsia="zh-CN" w:bidi="en-US"/>
              </w:rPr>
              <w:t>约190m处为新辉酒店，约230m处为城市名车，约290m处为辉腾汽修，约330m处为聚友汽修，约385m外为鑫悦大酒店，约400m处为瓷砖批发，约440m处为宣汉钱来也酒水批发部，约473m处为卓越沙发厂；项目</w:t>
            </w:r>
            <w:r>
              <w:rPr>
                <w:rFonts w:hint="eastAsia"/>
                <w:b/>
                <w:bCs w:val="0"/>
                <w:color w:val="auto"/>
                <w:sz w:val="24"/>
                <w:highlight w:val="none"/>
                <w:lang w:val="en-US" w:eastAsia="zh-CN" w:bidi="en-US"/>
              </w:rPr>
              <w:t>住院部西侧</w:t>
            </w:r>
            <w:r>
              <w:rPr>
                <w:rFonts w:hint="eastAsia"/>
                <w:b w:val="0"/>
                <w:bCs/>
                <w:color w:val="auto"/>
                <w:sz w:val="24"/>
                <w:highlight w:val="none"/>
                <w:lang w:val="en-US" w:eastAsia="zh-CN" w:bidi="en-US"/>
              </w:rPr>
              <w:t>约6m处为商住户，约20m处为</w:t>
            </w:r>
            <w:r>
              <w:rPr>
                <w:rFonts w:hint="eastAsia"/>
                <w:b/>
                <w:bCs w:val="0"/>
                <w:color w:val="auto"/>
                <w:sz w:val="24"/>
                <w:highlight w:val="none"/>
                <w:lang w:val="en-US" w:eastAsia="zh-CN" w:bidi="en-US"/>
              </w:rPr>
              <w:t>业务楼</w:t>
            </w:r>
            <w:r>
              <w:rPr>
                <w:rFonts w:hint="eastAsia"/>
                <w:b w:val="0"/>
                <w:bCs/>
                <w:color w:val="auto"/>
                <w:sz w:val="24"/>
                <w:highlight w:val="none"/>
                <w:lang w:val="en-US" w:eastAsia="zh-CN" w:bidi="en-US"/>
              </w:rPr>
              <w:t>，约60m处为</w:t>
            </w:r>
            <w:r>
              <w:rPr>
                <w:rFonts w:hint="eastAsia"/>
                <w:b/>
                <w:bCs w:val="0"/>
                <w:color w:val="auto"/>
                <w:sz w:val="24"/>
                <w:highlight w:val="none"/>
                <w:lang w:val="en-US" w:eastAsia="zh-CN" w:bidi="en-US"/>
              </w:rPr>
              <w:t>发热门诊</w:t>
            </w:r>
            <w:r>
              <w:rPr>
                <w:rFonts w:hint="eastAsia"/>
                <w:b w:val="0"/>
                <w:bCs/>
                <w:color w:val="auto"/>
                <w:sz w:val="24"/>
                <w:highlight w:val="none"/>
                <w:lang w:val="en-US" w:eastAsia="zh-CN" w:bidi="en-US"/>
              </w:rPr>
              <w:t>，约115m处为幸福之家租售中心，约170m处为达州科技职业技术学校，约240m处为汽车二手车市场，约370m处为永安大道，约410m处为达州金杉天马汽车销售有限公司；项目</w:t>
            </w:r>
            <w:r>
              <w:rPr>
                <w:rFonts w:hint="eastAsia"/>
                <w:b/>
                <w:bCs w:val="0"/>
                <w:color w:val="auto"/>
                <w:sz w:val="24"/>
                <w:highlight w:val="none"/>
                <w:lang w:val="en-US" w:eastAsia="zh-CN" w:bidi="en-US"/>
              </w:rPr>
              <w:t>住院部西南侧</w:t>
            </w:r>
            <w:r>
              <w:rPr>
                <w:rFonts w:hint="eastAsia"/>
                <w:b w:val="0"/>
                <w:bCs/>
                <w:color w:val="auto"/>
                <w:sz w:val="24"/>
                <w:highlight w:val="none"/>
                <w:lang w:val="en-US" w:eastAsia="zh-CN" w:bidi="en-US"/>
              </w:rPr>
              <w:t>约为470m为鼎盛汽修，约480m处为雄兴名车，约330m处为亿联建材家居五金城；项目</w:t>
            </w:r>
            <w:r>
              <w:rPr>
                <w:rFonts w:hint="eastAsia"/>
                <w:b/>
                <w:bCs w:val="0"/>
                <w:color w:val="auto"/>
                <w:sz w:val="24"/>
                <w:highlight w:val="none"/>
                <w:lang w:val="en-US" w:eastAsia="zh-CN" w:bidi="en-US"/>
              </w:rPr>
              <w:t>住院部南侧</w:t>
            </w:r>
            <w:r>
              <w:rPr>
                <w:rFonts w:hint="eastAsia"/>
                <w:b w:val="0"/>
                <w:bCs/>
                <w:color w:val="auto"/>
                <w:sz w:val="24"/>
                <w:highlight w:val="none"/>
                <w:lang w:val="en-US" w:eastAsia="zh-CN" w:bidi="en-US"/>
              </w:rPr>
              <w:t>约10m处为广汽传祺、宣汉县中普经营管理有限公司、新华文轩教材库房、铂金大酒店等，约60m处为中兴街，约80m处为金域华府（在建），约400m处为巴人大道廉租房惠民小区，约460m处为巴人花园；项目</w:t>
            </w:r>
            <w:r>
              <w:rPr>
                <w:rFonts w:hint="eastAsia"/>
                <w:b/>
                <w:bCs w:val="0"/>
                <w:color w:val="auto"/>
                <w:sz w:val="24"/>
                <w:highlight w:val="none"/>
                <w:lang w:val="en-US" w:eastAsia="zh-CN" w:bidi="en-US"/>
              </w:rPr>
              <w:t>住院部东南侧</w:t>
            </w:r>
            <w:r>
              <w:rPr>
                <w:rFonts w:hint="eastAsia"/>
                <w:b w:val="0"/>
                <w:bCs/>
                <w:color w:val="auto"/>
                <w:sz w:val="24"/>
                <w:highlight w:val="none"/>
                <w:lang w:val="en-US" w:eastAsia="zh-CN" w:bidi="en-US"/>
              </w:rPr>
              <w:t>约320m处为四川富昌饲料有限公司、宣汉县川汉农资有限公司，约390m处为国家税务总局宣汉县税务局土主税务分局，约490m处为四川省宣汉中学蒲江学校；项目</w:t>
            </w:r>
            <w:r>
              <w:rPr>
                <w:rFonts w:hint="eastAsia"/>
                <w:b/>
                <w:bCs w:val="0"/>
                <w:color w:val="auto"/>
                <w:sz w:val="24"/>
                <w:highlight w:val="none"/>
                <w:lang w:val="en-US" w:eastAsia="zh-CN" w:bidi="en-US"/>
              </w:rPr>
              <w:t>住院部东侧</w:t>
            </w:r>
            <w:r>
              <w:rPr>
                <w:rFonts w:hint="eastAsia"/>
                <w:b w:val="0"/>
                <w:bCs/>
                <w:color w:val="auto"/>
                <w:sz w:val="24"/>
                <w:highlight w:val="none"/>
                <w:lang w:val="en-US" w:eastAsia="zh-CN" w:bidi="en-US"/>
              </w:rPr>
              <w:t>约30m处为巴人大道，约90m处为宣汉云峰公司，约290m处为废品回收站，约460m处为力峰工程机械配件；项目</w:t>
            </w:r>
            <w:r>
              <w:rPr>
                <w:rFonts w:hint="eastAsia"/>
                <w:b/>
                <w:bCs w:val="0"/>
                <w:color w:val="auto"/>
                <w:sz w:val="24"/>
                <w:highlight w:val="none"/>
                <w:lang w:val="en-US" w:eastAsia="zh-CN" w:bidi="en-US"/>
              </w:rPr>
              <w:t>住院部东北侧</w:t>
            </w:r>
            <w:r>
              <w:rPr>
                <w:rFonts w:hint="eastAsia"/>
                <w:b w:val="0"/>
                <w:bCs/>
                <w:color w:val="auto"/>
                <w:sz w:val="24"/>
                <w:highlight w:val="none"/>
                <w:lang w:val="en-US" w:eastAsia="zh-CN" w:bidi="en-US"/>
              </w:rPr>
              <w:t>约205m处为川汉汽修维修中心，约330m处为宣汉县邹氏汽车修配有限公司，约365m处为卓马陶瓷宣汉总代理，约430m处为宣汉县巨灵建材有限公司。项目外环境关系及监测布点图见附图3。</w:t>
            </w:r>
          </w:p>
          <w:p>
            <w:pPr>
              <w:autoSpaceDE w:val="0"/>
              <w:autoSpaceDN w:val="0"/>
              <w:adjustRightInd w:val="0"/>
              <w:snapToGrid w:val="0"/>
              <w:spacing w:line="360" w:lineRule="auto"/>
              <w:ind w:firstLine="480" w:firstLineChars="200"/>
              <w:rPr>
                <w:rFonts w:hint="eastAsia"/>
                <w:b w:val="0"/>
                <w:bCs/>
                <w:color w:val="auto"/>
                <w:sz w:val="24"/>
                <w:highlight w:val="none"/>
                <w:lang w:val="en-US" w:eastAsia="zh-CN" w:bidi="en-US"/>
              </w:rPr>
            </w:pPr>
            <w:r>
              <w:rPr>
                <w:rFonts w:hint="eastAsia"/>
                <w:b w:val="0"/>
                <w:bCs/>
                <w:color w:val="auto"/>
                <w:sz w:val="24"/>
                <w:highlight w:val="none"/>
                <w:lang w:val="en-US" w:eastAsia="zh-CN" w:bidi="en-US"/>
              </w:rPr>
              <w:t>参照《综合医院建设设计规范》中对医院选址做出的明确规定。本项目与相关规范、标准内容对比如下，详见表1-5：</w:t>
            </w:r>
          </w:p>
          <w:p>
            <w:pPr>
              <w:autoSpaceDE w:val="0"/>
              <w:autoSpaceDN w:val="0"/>
              <w:adjustRightInd w:val="0"/>
              <w:snapToGrid w:val="0"/>
              <w:spacing w:line="360" w:lineRule="auto"/>
              <w:jc w:val="center"/>
              <w:rPr>
                <w:rFonts w:hint="eastAsia" w:ascii="黑体" w:hAnsi="黑体" w:eastAsia="黑体" w:cs="黑体"/>
                <w:b w:val="0"/>
                <w:bCs/>
                <w:color w:val="auto"/>
                <w:sz w:val="21"/>
                <w:szCs w:val="18"/>
                <w:highlight w:val="none"/>
                <w:lang w:val="en-US" w:eastAsia="zh-CN" w:bidi="en-US"/>
              </w:rPr>
            </w:pPr>
            <w:r>
              <w:rPr>
                <w:rFonts w:hint="eastAsia" w:ascii="黑体" w:hAnsi="黑体" w:eastAsia="黑体" w:cs="黑体"/>
                <w:b w:val="0"/>
                <w:bCs/>
                <w:color w:val="auto"/>
                <w:sz w:val="21"/>
                <w:szCs w:val="18"/>
                <w:highlight w:val="none"/>
                <w:lang w:val="en-US" w:eastAsia="zh-CN" w:bidi="en-US"/>
              </w:rPr>
              <w:t>表1-5 本项目与《综合医院建设设计规范》选址要求符合性一览表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4"/>
              <w:gridCol w:w="3876"/>
              <w:gridCol w:w="3512"/>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noWrap w:val="0"/>
                  <w:tcMar>
                    <w:left w:w="28" w:type="dxa"/>
                    <w:right w:w="28" w:type="dxa"/>
                  </w:tcMar>
                  <w:vAlign w:val="center"/>
                </w:tcPr>
                <w:p>
                  <w:pPr>
                    <w:snapToGrid w:val="0"/>
                    <w:spacing w:line="240" w:lineRule="auto"/>
                    <w:jc w:val="center"/>
                    <w:rPr>
                      <w:b/>
                      <w:bCs/>
                      <w:snapToGrid w:val="0"/>
                      <w:color w:val="auto"/>
                      <w:sz w:val="21"/>
                      <w:szCs w:val="21"/>
                      <w:highlight w:val="none"/>
                    </w:rPr>
                  </w:pPr>
                  <w:r>
                    <w:rPr>
                      <w:b/>
                      <w:bCs/>
                      <w:snapToGrid w:val="0"/>
                      <w:color w:val="auto"/>
                      <w:sz w:val="21"/>
                      <w:szCs w:val="21"/>
                      <w:highlight w:val="none"/>
                    </w:rPr>
                    <w:t>项目</w:t>
                  </w:r>
                </w:p>
              </w:tc>
              <w:tc>
                <w:tcPr>
                  <w:tcW w:w="2089" w:type="pct"/>
                  <w:noWrap w:val="0"/>
                  <w:tcMar>
                    <w:left w:w="28" w:type="dxa"/>
                    <w:right w:w="28" w:type="dxa"/>
                  </w:tcMar>
                  <w:vAlign w:val="center"/>
                </w:tcPr>
                <w:p>
                  <w:pPr>
                    <w:snapToGrid w:val="0"/>
                    <w:spacing w:line="240" w:lineRule="auto"/>
                    <w:jc w:val="center"/>
                    <w:rPr>
                      <w:b/>
                      <w:bCs/>
                      <w:snapToGrid w:val="0"/>
                      <w:color w:val="auto"/>
                      <w:sz w:val="21"/>
                      <w:szCs w:val="21"/>
                      <w:highlight w:val="none"/>
                    </w:rPr>
                  </w:pPr>
                  <w:r>
                    <w:rPr>
                      <w:b/>
                      <w:bCs/>
                      <w:snapToGrid w:val="0"/>
                      <w:color w:val="auto"/>
                      <w:sz w:val="21"/>
                      <w:szCs w:val="21"/>
                      <w:highlight w:val="none"/>
                    </w:rPr>
                    <w:t>规范内容</w:t>
                  </w:r>
                </w:p>
              </w:tc>
              <w:tc>
                <w:tcPr>
                  <w:tcW w:w="1893" w:type="pct"/>
                  <w:noWrap w:val="0"/>
                  <w:tcMar>
                    <w:left w:w="28" w:type="dxa"/>
                    <w:right w:w="28" w:type="dxa"/>
                  </w:tcMar>
                  <w:vAlign w:val="center"/>
                </w:tcPr>
                <w:p>
                  <w:pPr>
                    <w:snapToGrid w:val="0"/>
                    <w:spacing w:line="240" w:lineRule="auto"/>
                    <w:jc w:val="center"/>
                    <w:rPr>
                      <w:b/>
                      <w:bCs/>
                      <w:snapToGrid w:val="0"/>
                      <w:color w:val="auto"/>
                      <w:sz w:val="21"/>
                      <w:szCs w:val="21"/>
                      <w:highlight w:val="none"/>
                    </w:rPr>
                  </w:pPr>
                  <w:r>
                    <w:rPr>
                      <w:b/>
                      <w:bCs/>
                      <w:snapToGrid w:val="0"/>
                      <w:color w:val="auto"/>
                      <w:sz w:val="21"/>
                      <w:szCs w:val="21"/>
                      <w:highlight w:val="none"/>
                    </w:rPr>
                    <w:t>本项目建设内容</w:t>
                  </w:r>
                </w:p>
              </w:tc>
              <w:tc>
                <w:tcPr>
                  <w:tcW w:w="496" w:type="pct"/>
                  <w:noWrap w:val="0"/>
                  <w:tcMar>
                    <w:left w:w="28" w:type="dxa"/>
                    <w:right w:w="28" w:type="dxa"/>
                  </w:tcMar>
                  <w:vAlign w:val="center"/>
                </w:tcPr>
                <w:p>
                  <w:pPr>
                    <w:snapToGrid w:val="0"/>
                    <w:spacing w:line="240" w:lineRule="auto"/>
                    <w:jc w:val="center"/>
                    <w:rPr>
                      <w:b/>
                      <w:bCs/>
                      <w:snapToGrid w:val="0"/>
                      <w:color w:val="auto"/>
                      <w:sz w:val="21"/>
                      <w:szCs w:val="21"/>
                      <w:highlight w:val="none"/>
                    </w:rPr>
                  </w:pPr>
                  <w:r>
                    <w:rPr>
                      <w:b/>
                      <w:bCs/>
                      <w:snapToGrid w:val="0"/>
                      <w:color w:val="auto"/>
                      <w:sz w:val="21"/>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vMerge w:val="restart"/>
                  <w:noWrap w:val="0"/>
                  <w:tcMar>
                    <w:left w:w="28" w:type="dxa"/>
                    <w:right w:w="28" w:type="dxa"/>
                  </w:tcMar>
                  <w:vAlign w:val="center"/>
                </w:tcPr>
                <w:p>
                  <w:pPr>
                    <w:snapToGrid w:val="0"/>
                    <w:spacing w:line="240" w:lineRule="auto"/>
                    <w:jc w:val="center"/>
                    <w:rPr>
                      <w:rFonts w:hint="eastAsia"/>
                      <w:snapToGrid w:val="0"/>
                      <w:color w:val="auto"/>
                      <w:sz w:val="21"/>
                      <w:szCs w:val="21"/>
                      <w:highlight w:val="none"/>
                    </w:rPr>
                  </w:pPr>
                  <w:r>
                    <w:rPr>
                      <w:snapToGrid w:val="0"/>
                      <w:color w:val="auto"/>
                      <w:sz w:val="21"/>
                      <w:szCs w:val="21"/>
                      <w:highlight w:val="none"/>
                    </w:rPr>
                    <w:t>《综合医院建筑设计规范》</w:t>
                  </w:r>
                </w:p>
              </w:tc>
              <w:tc>
                <w:tcPr>
                  <w:tcW w:w="2089" w:type="pct"/>
                  <w:noWrap w:val="0"/>
                  <w:tcMar>
                    <w:left w:w="28" w:type="dxa"/>
                    <w:right w:w="28" w:type="dxa"/>
                  </w:tcMar>
                  <w:vAlign w:val="center"/>
                </w:tcPr>
                <w:p>
                  <w:pPr>
                    <w:snapToGrid w:val="0"/>
                    <w:spacing w:line="240" w:lineRule="auto"/>
                    <w:rPr>
                      <w:snapToGrid w:val="0"/>
                      <w:color w:val="auto"/>
                      <w:sz w:val="21"/>
                      <w:szCs w:val="21"/>
                      <w:highlight w:val="none"/>
                    </w:rPr>
                  </w:pPr>
                  <w:r>
                    <w:rPr>
                      <w:snapToGrid w:val="0"/>
                      <w:color w:val="auto"/>
                      <w:sz w:val="21"/>
                      <w:szCs w:val="21"/>
                      <w:highlight w:val="none"/>
                    </w:rPr>
                    <w:t>一、交通方便，宜面临两条城市道路</w:t>
                  </w:r>
                </w:p>
              </w:tc>
              <w:tc>
                <w:tcPr>
                  <w:tcW w:w="1893" w:type="pct"/>
                  <w:noWrap w:val="0"/>
                  <w:tcMar>
                    <w:left w:w="28" w:type="dxa"/>
                    <w:right w:w="28" w:type="dxa"/>
                  </w:tcMar>
                  <w:vAlign w:val="center"/>
                </w:tcPr>
                <w:p>
                  <w:pPr>
                    <w:snapToGrid w:val="0"/>
                    <w:spacing w:line="240" w:lineRule="auto"/>
                    <w:jc w:val="center"/>
                    <w:rPr>
                      <w:rFonts w:hint="eastAsia"/>
                      <w:snapToGrid w:val="0"/>
                      <w:color w:val="auto"/>
                      <w:sz w:val="21"/>
                      <w:szCs w:val="21"/>
                      <w:highlight w:val="none"/>
                    </w:rPr>
                  </w:pPr>
                  <w:r>
                    <w:rPr>
                      <w:snapToGrid w:val="0"/>
                      <w:color w:val="auto"/>
                      <w:sz w:val="21"/>
                      <w:szCs w:val="21"/>
                      <w:highlight w:val="none"/>
                    </w:rPr>
                    <w:t>交通方便，</w:t>
                  </w:r>
                  <w:r>
                    <w:rPr>
                      <w:rFonts w:hint="eastAsia"/>
                      <w:snapToGrid w:val="0"/>
                      <w:color w:val="auto"/>
                      <w:sz w:val="21"/>
                      <w:szCs w:val="21"/>
                      <w:highlight w:val="none"/>
                    </w:rPr>
                    <w:t>四面</w:t>
                  </w:r>
                  <w:r>
                    <w:rPr>
                      <w:snapToGrid w:val="0"/>
                      <w:color w:val="auto"/>
                      <w:sz w:val="21"/>
                      <w:szCs w:val="21"/>
                      <w:highlight w:val="none"/>
                    </w:rPr>
                    <w:t>临路</w:t>
                  </w:r>
                  <w:r>
                    <w:rPr>
                      <w:rFonts w:hint="eastAsia"/>
                      <w:snapToGrid w:val="0"/>
                      <w:color w:val="auto"/>
                      <w:sz w:val="21"/>
                      <w:szCs w:val="21"/>
                      <w:highlight w:val="none"/>
                    </w:rPr>
                    <w:t>，交通便利</w:t>
                  </w:r>
                </w:p>
              </w:tc>
              <w:tc>
                <w:tcPr>
                  <w:tcW w:w="496" w:type="pct"/>
                  <w:noWrap w:val="0"/>
                  <w:tcMar>
                    <w:left w:w="28" w:type="dxa"/>
                    <w:right w:w="28" w:type="dxa"/>
                  </w:tcMar>
                  <w:vAlign w:val="center"/>
                </w:tcPr>
                <w:p>
                  <w:pPr>
                    <w:snapToGrid w:val="0"/>
                    <w:spacing w:line="240" w:lineRule="auto"/>
                    <w:jc w:val="center"/>
                    <w:rPr>
                      <w:b/>
                      <w:snapToGrid w:val="0"/>
                      <w:color w:val="auto"/>
                      <w:sz w:val="21"/>
                      <w:szCs w:val="21"/>
                      <w:highlight w:val="none"/>
                    </w:rPr>
                  </w:pPr>
                  <w:r>
                    <w:rPr>
                      <w:b/>
                      <w:snapToGrid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vMerge w:val="continue"/>
                  <w:noWrap w:val="0"/>
                  <w:tcMar>
                    <w:left w:w="28" w:type="dxa"/>
                    <w:right w:w="28" w:type="dxa"/>
                  </w:tcMar>
                  <w:vAlign w:val="center"/>
                </w:tcPr>
                <w:p>
                  <w:pPr>
                    <w:snapToGrid w:val="0"/>
                    <w:spacing w:line="240" w:lineRule="auto"/>
                    <w:jc w:val="center"/>
                    <w:rPr>
                      <w:snapToGrid w:val="0"/>
                      <w:color w:val="auto"/>
                      <w:sz w:val="21"/>
                      <w:szCs w:val="21"/>
                      <w:highlight w:val="none"/>
                    </w:rPr>
                  </w:pPr>
                </w:p>
              </w:tc>
              <w:tc>
                <w:tcPr>
                  <w:tcW w:w="2089" w:type="pct"/>
                  <w:noWrap w:val="0"/>
                  <w:tcMar>
                    <w:left w:w="28" w:type="dxa"/>
                    <w:right w:w="28" w:type="dxa"/>
                  </w:tcMar>
                  <w:vAlign w:val="center"/>
                </w:tcPr>
                <w:p>
                  <w:pPr>
                    <w:snapToGrid w:val="0"/>
                    <w:spacing w:line="240" w:lineRule="auto"/>
                    <w:rPr>
                      <w:snapToGrid w:val="0"/>
                      <w:color w:val="auto"/>
                      <w:sz w:val="21"/>
                      <w:szCs w:val="21"/>
                      <w:highlight w:val="none"/>
                    </w:rPr>
                  </w:pPr>
                  <w:r>
                    <w:rPr>
                      <w:snapToGrid w:val="0"/>
                      <w:color w:val="auto"/>
                      <w:sz w:val="21"/>
                      <w:szCs w:val="21"/>
                      <w:highlight w:val="none"/>
                    </w:rPr>
                    <w:t>二、便于利用城市基础设施</w:t>
                  </w:r>
                </w:p>
              </w:tc>
              <w:tc>
                <w:tcPr>
                  <w:tcW w:w="1893" w:type="pct"/>
                  <w:noWrap w:val="0"/>
                  <w:tcMar>
                    <w:left w:w="28" w:type="dxa"/>
                    <w:right w:w="28" w:type="dxa"/>
                  </w:tcMar>
                  <w:vAlign w:val="center"/>
                </w:tcPr>
                <w:p>
                  <w:pPr>
                    <w:snapToGrid w:val="0"/>
                    <w:spacing w:line="240" w:lineRule="auto"/>
                    <w:jc w:val="center"/>
                    <w:rPr>
                      <w:snapToGrid w:val="0"/>
                      <w:color w:val="auto"/>
                      <w:sz w:val="21"/>
                      <w:szCs w:val="21"/>
                      <w:highlight w:val="none"/>
                    </w:rPr>
                  </w:pPr>
                  <w:r>
                    <w:rPr>
                      <w:snapToGrid w:val="0"/>
                      <w:color w:val="auto"/>
                      <w:sz w:val="21"/>
                      <w:szCs w:val="21"/>
                      <w:highlight w:val="none"/>
                    </w:rPr>
                    <w:t>本项目</w:t>
                  </w:r>
                  <w:r>
                    <w:rPr>
                      <w:rFonts w:hint="eastAsia"/>
                      <w:snapToGrid w:val="0"/>
                      <w:color w:val="auto"/>
                      <w:sz w:val="21"/>
                      <w:szCs w:val="21"/>
                      <w:highlight w:val="none"/>
                    </w:rPr>
                    <w:t>所在区域</w:t>
                  </w:r>
                  <w:r>
                    <w:rPr>
                      <w:snapToGrid w:val="0"/>
                      <w:color w:val="auto"/>
                      <w:sz w:val="21"/>
                      <w:szCs w:val="21"/>
                      <w:highlight w:val="none"/>
                    </w:rPr>
                    <w:t>基础设施配备齐全</w:t>
                  </w:r>
                </w:p>
              </w:tc>
              <w:tc>
                <w:tcPr>
                  <w:tcW w:w="496" w:type="pct"/>
                  <w:noWrap w:val="0"/>
                  <w:tcMar>
                    <w:left w:w="28" w:type="dxa"/>
                    <w:right w:w="28" w:type="dxa"/>
                  </w:tcMar>
                  <w:vAlign w:val="center"/>
                </w:tcPr>
                <w:p>
                  <w:pPr>
                    <w:snapToGrid w:val="0"/>
                    <w:spacing w:line="240" w:lineRule="auto"/>
                    <w:jc w:val="center"/>
                    <w:rPr>
                      <w:b/>
                      <w:snapToGrid w:val="0"/>
                      <w:color w:val="auto"/>
                      <w:sz w:val="21"/>
                      <w:szCs w:val="21"/>
                      <w:highlight w:val="none"/>
                    </w:rPr>
                  </w:pPr>
                  <w:r>
                    <w:rPr>
                      <w:b/>
                      <w:snapToGrid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vMerge w:val="continue"/>
                  <w:noWrap w:val="0"/>
                  <w:tcMar>
                    <w:left w:w="28" w:type="dxa"/>
                    <w:right w:w="28" w:type="dxa"/>
                  </w:tcMar>
                  <w:vAlign w:val="center"/>
                </w:tcPr>
                <w:p>
                  <w:pPr>
                    <w:snapToGrid w:val="0"/>
                    <w:spacing w:line="240" w:lineRule="auto"/>
                    <w:jc w:val="center"/>
                    <w:rPr>
                      <w:snapToGrid w:val="0"/>
                      <w:color w:val="auto"/>
                      <w:sz w:val="21"/>
                      <w:szCs w:val="21"/>
                      <w:highlight w:val="none"/>
                    </w:rPr>
                  </w:pPr>
                </w:p>
              </w:tc>
              <w:tc>
                <w:tcPr>
                  <w:tcW w:w="2089" w:type="pct"/>
                  <w:noWrap w:val="0"/>
                  <w:tcMar>
                    <w:left w:w="28" w:type="dxa"/>
                    <w:right w:w="28" w:type="dxa"/>
                  </w:tcMar>
                  <w:vAlign w:val="center"/>
                </w:tcPr>
                <w:p>
                  <w:pPr>
                    <w:snapToGrid w:val="0"/>
                    <w:spacing w:line="240" w:lineRule="auto"/>
                    <w:rPr>
                      <w:snapToGrid w:val="0"/>
                      <w:color w:val="auto"/>
                      <w:sz w:val="21"/>
                      <w:szCs w:val="21"/>
                      <w:highlight w:val="none"/>
                    </w:rPr>
                  </w:pPr>
                  <w:r>
                    <w:rPr>
                      <w:snapToGrid w:val="0"/>
                      <w:color w:val="auto"/>
                      <w:sz w:val="21"/>
                      <w:szCs w:val="21"/>
                      <w:highlight w:val="none"/>
                    </w:rPr>
                    <w:t>三、环境安静，远离污染源</w:t>
                  </w:r>
                </w:p>
              </w:tc>
              <w:tc>
                <w:tcPr>
                  <w:tcW w:w="1893" w:type="pct"/>
                  <w:noWrap w:val="0"/>
                  <w:tcMar>
                    <w:left w:w="28" w:type="dxa"/>
                    <w:right w:w="28" w:type="dxa"/>
                  </w:tcMar>
                  <w:vAlign w:val="center"/>
                </w:tcPr>
                <w:p>
                  <w:pPr>
                    <w:snapToGrid w:val="0"/>
                    <w:spacing w:line="240" w:lineRule="auto"/>
                    <w:jc w:val="center"/>
                    <w:rPr>
                      <w:rFonts w:hint="eastAsia"/>
                      <w:snapToGrid w:val="0"/>
                      <w:color w:val="auto"/>
                      <w:sz w:val="21"/>
                      <w:szCs w:val="21"/>
                      <w:highlight w:val="none"/>
                    </w:rPr>
                  </w:pPr>
                  <w:r>
                    <w:rPr>
                      <w:rFonts w:hint="eastAsia"/>
                      <w:b w:val="0"/>
                      <w:bCs/>
                      <w:color w:val="auto"/>
                      <w:sz w:val="21"/>
                      <w:szCs w:val="20"/>
                      <w:highlight w:val="none"/>
                      <w:vertAlign w:val="baseline"/>
                      <w:lang w:val="en-US" w:eastAsia="zh-CN" w:bidi="en-US"/>
                    </w:rPr>
                    <w:t>本项目院区周边环境安静，区域无重大污染</w:t>
                  </w:r>
                </w:p>
              </w:tc>
              <w:tc>
                <w:tcPr>
                  <w:tcW w:w="496" w:type="pct"/>
                  <w:noWrap w:val="0"/>
                  <w:tcMar>
                    <w:left w:w="28" w:type="dxa"/>
                    <w:right w:w="28" w:type="dxa"/>
                  </w:tcMar>
                  <w:vAlign w:val="center"/>
                </w:tcPr>
                <w:p>
                  <w:pPr>
                    <w:snapToGrid w:val="0"/>
                    <w:spacing w:line="240" w:lineRule="auto"/>
                    <w:jc w:val="center"/>
                    <w:rPr>
                      <w:snapToGrid w:val="0"/>
                      <w:color w:val="auto"/>
                      <w:sz w:val="21"/>
                      <w:szCs w:val="21"/>
                      <w:highlight w:val="none"/>
                    </w:rPr>
                  </w:pPr>
                  <w:r>
                    <w:rPr>
                      <w:b/>
                      <w:snapToGrid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vMerge w:val="continue"/>
                  <w:noWrap w:val="0"/>
                  <w:tcMar>
                    <w:left w:w="28" w:type="dxa"/>
                    <w:right w:w="28" w:type="dxa"/>
                  </w:tcMar>
                  <w:vAlign w:val="center"/>
                </w:tcPr>
                <w:p>
                  <w:pPr>
                    <w:snapToGrid w:val="0"/>
                    <w:spacing w:line="240" w:lineRule="auto"/>
                    <w:jc w:val="center"/>
                    <w:rPr>
                      <w:snapToGrid w:val="0"/>
                      <w:color w:val="auto"/>
                      <w:sz w:val="21"/>
                      <w:szCs w:val="21"/>
                      <w:highlight w:val="none"/>
                    </w:rPr>
                  </w:pPr>
                </w:p>
              </w:tc>
              <w:tc>
                <w:tcPr>
                  <w:tcW w:w="2089" w:type="pct"/>
                  <w:noWrap w:val="0"/>
                  <w:tcMar>
                    <w:left w:w="28" w:type="dxa"/>
                    <w:right w:w="28" w:type="dxa"/>
                  </w:tcMar>
                  <w:vAlign w:val="center"/>
                </w:tcPr>
                <w:p>
                  <w:pPr>
                    <w:snapToGrid w:val="0"/>
                    <w:spacing w:line="240" w:lineRule="auto"/>
                    <w:rPr>
                      <w:snapToGrid w:val="0"/>
                      <w:color w:val="auto"/>
                      <w:sz w:val="21"/>
                      <w:szCs w:val="21"/>
                      <w:highlight w:val="none"/>
                    </w:rPr>
                  </w:pPr>
                  <w:r>
                    <w:rPr>
                      <w:snapToGrid w:val="0"/>
                      <w:color w:val="auto"/>
                      <w:sz w:val="21"/>
                      <w:szCs w:val="21"/>
                      <w:highlight w:val="none"/>
                    </w:rPr>
                    <w:t>四、地形力求规整</w:t>
                  </w:r>
                  <w:r>
                    <w:rPr>
                      <w:rFonts w:hint="eastAsia"/>
                      <w:snapToGrid w:val="0"/>
                      <w:color w:val="auto"/>
                      <w:sz w:val="21"/>
                      <w:szCs w:val="21"/>
                      <w:highlight w:val="none"/>
                    </w:rPr>
                    <w:t>，</w:t>
                  </w:r>
                  <w:r>
                    <w:rPr>
                      <w:snapToGrid w:val="0"/>
                      <w:color w:val="auto"/>
                      <w:sz w:val="21"/>
                      <w:szCs w:val="21"/>
                      <w:highlight w:val="none"/>
                    </w:rPr>
                    <w:t>适宜医院功能布局</w:t>
                  </w:r>
                </w:p>
              </w:tc>
              <w:tc>
                <w:tcPr>
                  <w:tcW w:w="1893" w:type="pct"/>
                  <w:noWrap w:val="0"/>
                  <w:tcMar>
                    <w:left w:w="28" w:type="dxa"/>
                    <w:right w:w="28" w:type="dxa"/>
                  </w:tcMar>
                  <w:vAlign w:val="center"/>
                </w:tcPr>
                <w:p>
                  <w:pPr>
                    <w:snapToGrid w:val="0"/>
                    <w:spacing w:line="240" w:lineRule="auto"/>
                    <w:jc w:val="center"/>
                    <w:rPr>
                      <w:snapToGrid w:val="0"/>
                      <w:color w:val="auto"/>
                      <w:sz w:val="21"/>
                      <w:szCs w:val="21"/>
                      <w:highlight w:val="none"/>
                    </w:rPr>
                  </w:pPr>
                  <w:r>
                    <w:rPr>
                      <w:snapToGrid w:val="0"/>
                      <w:color w:val="auto"/>
                      <w:sz w:val="21"/>
                      <w:szCs w:val="21"/>
                      <w:highlight w:val="none"/>
                    </w:rPr>
                    <w:t>地形</w:t>
                  </w:r>
                  <w:r>
                    <w:rPr>
                      <w:rFonts w:hint="eastAsia"/>
                      <w:snapToGrid w:val="0"/>
                      <w:color w:val="auto"/>
                      <w:sz w:val="21"/>
                      <w:szCs w:val="21"/>
                      <w:highlight w:val="none"/>
                    </w:rPr>
                    <w:t>为“L”型，</w:t>
                  </w:r>
                  <w:r>
                    <w:rPr>
                      <w:snapToGrid w:val="0"/>
                      <w:color w:val="auto"/>
                      <w:sz w:val="21"/>
                      <w:szCs w:val="21"/>
                      <w:highlight w:val="none"/>
                    </w:rPr>
                    <w:t>适宜医院功能布局</w:t>
                  </w:r>
                </w:p>
              </w:tc>
              <w:tc>
                <w:tcPr>
                  <w:tcW w:w="496" w:type="pct"/>
                  <w:noWrap w:val="0"/>
                  <w:tcMar>
                    <w:left w:w="28" w:type="dxa"/>
                    <w:right w:w="28" w:type="dxa"/>
                  </w:tcMar>
                  <w:vAlign w:val="center"/>
                </w:tcPr>
                <w:p>
                  <w:pPr>
                    <w:snapToGrid w:val="0"/>
                    <w:spacing w:line="240" w:lineRule="auto"/>
                    <w:jc w:val="center"/>
                    <w:rPr>
                      <w:b/>
                      <w:snapToGrid w:val="0"/>
                      <w:color w:val="auto"/>
                      <w:sz w:val="21"/>
                      <w:szCs w:val="21"/>
                      <w:highlight w:val="none"/>
                    </w:rPr>
                  </w:pPr>
                  <w:r>
                    <w:rPr>
                      <w:b/>
                      <w:snapToGrid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vMerge w:val="continue"/>
                  <w:noWrap w:val="0"/>
                  <w:tcMar>
                    <w:left w:w="28" w:type="dxa"/>
                    <w:right w:w="28" w:type="dxa"/>
                  </w:tcMar>
                  <w:vAlign w:val="center"/>
                </w:tcPr>
                <w:p>
                  <w:pPr>
                    <w:snapToGrid w:val="0"/>
                    <w:spacing w:line="240" w:lineRule="auto"/>
                    <w:jc w:val="center"/>
                    <w:rPr>
                      <w:snapToGrid w:val="0"/>
                      <w:color w:val="auto"/>
                      <w:sz w:val="21"/>
                      <w:szCs w:val="21"/>
                      <w:highlight w:val="none"/>
                    </w:rPr>
                  </w:pPr>
                </w:p>
              </w:tc>
              <w:tc>
                <w:tcPr>
                  <w:tcW w:w="2089" w:type="pct"/>
                  <w:noWrap w:val="0"/>
                  <w:tcMar>
                    <w:left w:w="28" w:type="dxa"/>
                    <w:right w:w="28" w:type="dxa"/>
                  </w:tcMar>
                  <w:vAlign w:val="center"/>
                </w:tcPr>
                <w:p>
                  <w:pPr>
                    <w:snapToGrid w:val="0"/>
                    <w:spacing w:line="240" w:lineRule="auto"/>
                    <w:rPr>
                      <w:snapToGrid w:val="0"/>
                      <w:color w:val="auto"/>
                      <w:sz w:val="21"/>
                      <w:szCs w:val="21"/>
                      <w:highlight w:val="none"/>
                    </w:rPr>
                  </w:pPr>
                  <w:r>
                    <w:rPr>
                      <w:snapToGrid w:val="0"/>
                      <w:color w:val="auto"/>
                      <w:sz w:val="21"/>
                      <w:szCs w:val="21"/>
                      <w:highlight w:val="none"/>
                    </w:rPr>
                    <w:t>五、远离易燃、易爆物品的生产和贮存区；并远离高压线路及其设施</w:t>
                  </w:r>
                </w:p>
              </w:tc>
              <w:tc>
                <w:tcPr>
                  <w:tcW w:w="1893" w:type="pct"/>
                  <w:noWrap w:val="0"/>
                  <w:tcMar>
                    <w:left w:w="28" w:type="dxa"/>
                    <w:right w:w="28" w:type="dxa"/>
                  </w:tcMar>
                  <w:vAlign w:val="center"/>
                </w:tcPr>
                <w:p>
                  <w:pPr>
                    <w:snapToGrid w:val="0"/>
                    <w:spacing w:line="240" w:lineRule="auto"/>
                    <w:jc w:val="center"/>
                    <w:rPr>
                      <w:b/>
                      <w:snapToGrid w:val="0"/>
                      <w:color w:val="auto"/>
                      <w:sz w:val="21"/>
                      <w:szCs w:val="21"/>
                      <w:highlight w:val="none"/>
                    </w:rPr>
                  </w:pPr>
                  <w:r>
                    <w:rPr>
                      <w:snapToGrid w:val="0"/>
                      <w:color w:val="auto"/>
                      <w:sz w:val="21"/>
                      <w:szCs w:val="21"/>
                      <w:highlight w:val="none"/>
                    </w:rPr>
                    <w:t>区域为城市区域，无易燃、易爆物品的生产和贮存区；远离高压线路及其设施</w:t>
                  </w:r>
                </w:p>
              </w:tc>
              <w:tc>
                <w:tcPr>
                  <w:tcW w:w="496" w:type="pct"/>
                  <w:noWrap w:val="0"/>
                  <w:tcMar>
                    <w:left w:w="28" w:type="dxa"/>
                    <w:right w:w="28" w:type="dxa"/>
                  </w:tcMar>
                  <w:vAlign w:val="center"/>
                </w:tcPr>
                <w:p>
                  <w:pPr>
                    <w:snapToGrid w:val="0"/>
                    <w:spacing w:line="240" w:lineRule="auto"/>
                    <w:jc w:val="center"/>
                    <w:rPr>
                      <w:b/>
                      <w:snapToGrid w:val="0"/>
                      <w:color w:val="auto"/>
                      <w:sz w:val="21"/>
                      <w:szCs w:val="21"/>
                      <w:highlight w:val="none"/>
                    </w:rPr>
                  </w:pPr>
                  <w:r>
                    <w:rPr>
                      <w:b/>
                      <w:snapToGrid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vMerge w:val="continue"/>
                  <w:noWrap w:val="0"/>
                  <w:tcMar>
                    <w:left w:w="28" w:type="dxa"/>
                    <w:right w:w="28" w:type="dxa"/>
                  </w:tcMar>
                  <w:vAlign w:val="center"/>
                </w:tcPr>
                <w:p>
                  <w:pPr>
                    <w:snapToGrid w:val="0"/>
                    <w:spacing w:line="240" w:lineRule="auto"/>
                    <w:jc w:val="center"/>
                    <w:rPr>
                      <w:snapToGrid w:val="0"/>
                      <w:color w:val="auto"/>
                      <w:sz w:val="21"/>
                      <w:szCs w:val="21"/>
                      <w:highlight w:val="none"/>
                    </w:rPr>
                  </w:pPr>
                </w:p>
              </w:tc>
              <w:tc>
                <w:tcPr>
                  <w:tcW w:w="2089" w:type="pct"/>
                  <w:noWrap w:val="0"/>
                  <w:tcMar>
                    <w:left w:w="28" w:type="dxa"/>
                    <w:right w:w="28" w:type="dxa"/>
                  </w:tcMar>
                  <w:vAlign w:val="center"/>
                </w:tcPr>
                <w:p>
                  <w:pPr>
                    <w:snapToGrid w:val="0"/>
                    <w:spacing w:line="240" w:lineRule="auto"/>
                    <w:rPr>
                      <w:snapToGrid w:val="0"/>
                      <w:color w:val="auto"/>
                      <w:sz w:val="21"/>
                      <w:szCs w:val="21"/>
                      <w:highlight w:val="none"/>
                    </w:rPr>
                  </w:pPr>
                  <w:r>
                    <w:rPr>
                      <w:snapToGrid w:val="0"/>
                      <w:color w:val="auto"/>
                      <w:sz w:val="21"/>
                      <w:szCs w:val="21"/>
                      <w:highlight w:val="none"/>
                    </w:rPr>
                    <w:t>六、不应邻近少年儿童活动密集场所</w:t>
                  </w:r>
                </w:p>
              </w:tc>
              <w:tc>
                <w:tcPr>
                  <w:tcW w:w="1893" w:type="pct"/>
                  <w:noWrap w:val="0"/>
                  <w:tcMar>
                    <w:left w:w="28" w:type="dxa"/>
                    <w:right w:w="28" w:type="dxa"/>
                  </w:tcMar>
                  <w:vAlign w:val="center"/>
                </w:tcPr>
                <w:p>
                  <w:pPr>
                    <w:snapToGrid w:val="0"/>
                    <w:spacing w:line="240" w:lineRule="auto"/>
                    <w:jc w:val="center"/>
                    <w:rPr>
                      <w:snapToGrid w:val="0"/>
                      <w:color w:val="auto"/>
                      <w:sz w:val="21"/>
                      <w:szCs w:val="21"/>
                      <w:highlight w:val="none"/>
                    </w:rPr>
                  </w:pPr>
                  <w:r>
                    <w:rPr>
                      <w:snapToGrid w:val="0"/>
                      <w:color w:val="auto"/>
                      <w:sz w:val="21"/>
                      <w:szCs w:val="21"/>
                      <w:highlight w:val="none"/>
                    </w:rPr>
                    <w:t>项目</w:t>
                  </w:r>
                  <w:r>
                    <w:rPr>
                      <w:rFonts w:hint="eastAsia"/>
                      <w:snapToGrid w:val="0"/>
                      <w:color w:val="auto"/>
                      <w:sz w:val="21"/>
                      <w:szCs w:val="21"/>
                      <w:highlight w:val="none"/>
                    </w:rPr>
                    <w:t>100米范围内</w:t>
                  </w:r>
                  <w:r>
                    <w:rPr>
                      <w:snapToGrid w:val="0"/>
                      <w:color w:val="auto"/>
                      <w:sz w:val="21"/>
                      <w:szCs w:val="21"/>
                      <w:highlight w:val="none"/>
                    </w:rPr>
                    <w:t>无少年儿童活动密集场所</w:t>
                  </w:r>
                </w:p>
              </w:tc>
              <w:tc>
                <w:tcPr>
                  <w:tcW w:w="496" w:type="pct"/>
                  <w:noWrap w:val="0"/>
                  <w:tcMar>
                    <w:left w:w="28" w:type="dxa"/>
                    <w:right w:w="28" w:type="dxa"/>
                  </w:tcMar>
                  <w:vAlign w:val="center"/>
                </w:tcPr>
                <w:p>
                  <w:pPr>
                    <w:snapToGrid w:val="0"/>
                    <w:spacing w:line="240" w:lineRule="auto"/>
                    <w:jc w:val="center"/>
                    <w:rPr>
                      <w:b/>
                      <w:snapToGrid w:val="0"/>
                      <w:color w:val="auto"/>
                      <w:sz w:val="21"/>
                      <w:szCs w:val="21"/>
                      <w:highlight w:val="none"/>
                    </w:rPr>
                  </w:pPr>
                  <w:r>
                    <w:rPr>
                      <w:b/>
                      <w:snapToGrid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20" w:type="pct"/>
                  <w:vMerge w:val="continue"/>
                  <w:noWrap w:val="0"/>
                  <w:tcMar>
                    <w:left w:w="28" w:type="dxa"/>
                    <w:right w:w="28" w:type="dxa"/>
                  </w:tcMar>
                  <w:vAlign w:val="center"/>
                </w:tcPr>
                <w:p>
                  <w:pPr>
                    <w:snapToGrid w:val="0"/>
                    <w:spacing w:line="240" w:lineRule="auto"/>
                    <w:jc w:val="center"/>
                    <w:rPr>
                      <w:snapToGrid w:val="0"/>
                      <w:color w:val="auto"/>
                      <w:sz w:val="21"/>
                      <w:szCs w:val="21"/>
                      <w:highlight w:val="none"/>
                    </w:rPr>
                  </w:pPr>
                </w:p>
              </w:tc>
              <w:tc>
                <w:tcPr>
                  <w:tcW w:w="2089" w:type="pct"/>
                  <w:noWrap w:val="0"/>
                  <w:tcMar>
                    <w:left w:w="28" w:type="dxa"/>
                    <w:right w:w="28" w:type="dxa"/>
                  </w:tcMar>
                  <w:vAlign w:val="center"/>
                </w:tcPr>
                <w:p>
                  <w:pPr>
                    <w:snapToGrid w:val="0"/>
                    <w:spacing w:line="240" w:lineRule="auto"/>
                    <w:rPr>
                      <w:snapToGrid w:val="0"/>
                      <w:color w:val="auto"/>
                      <w:sz w:val="21"/>
                      <w:szCs w:val="21"/>
                      <w:highlight w:val="none"/>
                    </w:rPr>
                  </w:pPr>
                  <w:r>
                    <w:rPr>
                      <w:snapToGrid w:val="0"/>
                      <w:color w:val="auto"/>
                      <w:sz w:val="21"/>
                      <w:szCs w:val="21"/>
                      <w:highlight w:val="none"/>
                    </w:rPr>
                    <w:t>七、不应污染、影响城市的其他区域</w:t>
                  </w:r>
                </w:p>
              </w:tc>
              <w:tc>
                <w:tcPr>
                  <w:tcW w:w="1893" w:type="pct"/>
                  <w:noWrap w:val="0"/>
                  <w:tcMar>
                    <w:left w:w="28" w:type="dxa"/>
                    <w:right w:w="28" w:type="dxa"/>
                  </w:tcMar>
                  <w:vAlign w:val="center"/>
                </w:tcPr>
                <w:p>
                  <w:pPr>
                    <w:snapToGrid w:val="0"/>
                    <w:spacing w:line="240" w:lineRule="auto"/>
                    <w:jc w:val="center"/>
                    <w:rPr>
                      <w:snapToGrid w:val="0"/>
                      <w:color w:val="auto"/>
                      <w:sz w:val="21"/>
                      <w:szCs w:val="21"/>
                      <w:highlight w:val="none"/>
                    </w:rPr>
                  </w:pPr>
                  <w:r>
                    <w:rPr>
                      <w:snapToGrid w:val="0"/>
                      <w:color w:val="auto"/>
                      <w:sz w:val="21"/>
                      <w:szCs w:val="21"/>
                      <w:highlight w:val="none"/>
                    </w:rPr>
                    <w:t>项目不会污染、影响城市的其他区域</w:t>
                  </w:r>
                </w:p>
              </w:tc>
              <w:tc>
                <w:tcPr>
                  <w:tcW w:w="496" w:type="pct"/>
                  <w:noWrap w:val="0"/>
                  <w:tcMar>
                    <w:left w:w="28" w:type="dxa"/>
                    <w:right w:w="28" w:type="dxa"/>
                  </w:tcMar>
                  <w:vAlign w:val="center"/>
                </w:tcPr>
                <w:p>
                  <w:pPr>
                    <w:snapToGrid w:val="0"/>
                    <w:spacing w:line="240" w:lineRule="auto"/>
                    <w:jc w:val="center"/>
                    <w:rPr>
                      <w:b/>
                      <w:snapToGrid w:val="0"/>
                      <w:color w:val="auto"/>
                      <w:sz w:val="21"/>
                      <w:szCs w:val="21"/>
                      <w:highlight w:val="none"/>
                    </w:rPr>
                  </w:pPr>
                  <w:r>
                    <w:rPr>
                      <w:b/>
                      <w:snapToGrid w:val="0"/>
                      <w:color w:val="auto"/>
                      <w:sz w:val="21"/>
                      <w:szCs w:val="21"/>
                      <w:highlight w:val="none"/>
                    </w:rPr>
                    <w:t>符合</w:t>
                  </w:r>
                </w:p>
              </w:tc>
            </w:tr>
          </w:tbl>
          <w:p>
            <w:pPr>
              <w:autoSpaceDE w:val="0"/>
              <w:autoSpaceDN w:val="0"/>
              <w:adjustRightInd w:val="0"/>
              <w:snapToGrid w:val="0"/>
              <w:spacing w:line="360" w:lineRule="auto"/>
              <w:ind w:firstLine="480" w:firstLineChars="200"/>
              <w:rPr>
                <w:rFonts w:hint="eastAsia"/>
                <w:b w:val="0"/>
                <w:bCs/>
                <w:color w:val="auto"/>
                <w:sz w:val="24"/>
                <w:highlight w:val="none"/>
                <w:lang w:val="en-US" w:eastAsia="zh-CN" w:bidi="en-US"/>
              </w:rPr>
            </w:pPr>
            <w:r>
              <w:rPr>
                <w:rFonts w:hint="eastAsia"/>
                <w:b w:val="0"/>
                <w:bCs/>
                <w:color w:val="auto"/>
                <w:sz w:val="24"/>
                <w:highlight w:val="none"/>
                <w:lang w:val="en-US" w:eastAsia="zh-CN" w:bidi="en-US"/>
              </w:rPr>
              <w:t>综上分析，本项目符合《综合医院建设设计规范》中关于医院选址的相关要求。</w:t>
            </w:r>
          </w:p>
          <w:p>
            <w:pPr>
              <w:autoSpaceDE w:val="0"/>
              <w:autoSpaceDN w:val="0"/>
              <w:adjustRightInd w:val="0"/>
              <w:snapToGrid w:val="0"/>
              <w:spacing w:line="360" w:lineRule="auto"/>
              <w:ind w:firstLine="480" w:firstLineChars="200"/>
              <w:rPr>
                <w:rFonts w:hint="eastAsia"/>
                <w:b w:val="0"/>
                <w:bCs/>
                <w:color w:val="auto"/>
                <w:sz w:val="24"/>
                <w:highlight w:val="none"/>
                <w:lang w:val="en-US" w:eastAsia="zh-CN" w:bidi="en-US"/>
              </w:rPr>
            </w:pPr>
            <w:r>
              <w:rPr>
                <w:rFonts w:hint="eastAsia"/>
                <w:b w:val="0"/>
                <w:bCs/>
                <w:color w:val="auto"/>
                <w:sz w:val="24"/>
                <w:highlight w:val="none"/>
                <w:lang w:val="en-US" w:eastAsia="zh-CN" w:bidi="en-US"/>
              </w:rPr>
              <w:t>同时，根据《病原微生物实验室生物安全通用准则》《实验室生物安全通用要求》和《生物安全实验室建筑技术规范》中对P2实验室选址要求（与建筑物其他部分可相通，选址和建筑间距无要求），本项目在住院部2F南侧设置微生物实验区，符合普通型医学BSL-2实验室（即P2实验室）的要求。</w:t>
            </w:r>
          </w:p>
          <w:p>
            <w:pPr>
              <w:autoSpaceDE w:val="0"/>
              <w:autoSpaceDN w:val="0"/>
              <w:adjustRightInd w:val="0"/>
              <w:snapToGrid w:val="0"/>
              <w:spacing w:line="360" w:lineRule="auto"/>
              <w:ind w:firstLine="480" w:firstLineChars="200"/>
              <w:rPr>
                <w:rFonts w:hint="eastAsia"/>
                <w:b w:val="0"/>
                <w:bCs/>
                <w:color w:val="auto"/>
                <w:sz w:val="24"/>
                <w:highlight w:val="none"/>
                <w:lang w:val="en-US" w:eastAsia="zh-CN" w:bidi="en-US"/>
              </w:rPr>
            </w:pPr>
            <w:r>
              <w:rPr>
                <w:rFonts w:hint="eastAsia"/>
                <w:b w:val="0"/>
                <w:bCs/>
                <w:color w:val="auto"/>
                <w:sz w:val="24"/>
                <w:highlight w:val="none"/>
                <w:lang w:val="en-US" w:eastAsia="zh-CN" w:bidi="en-US"/>
              </w:rPr>
              <w:t>因此，根据本项目外环境可知，项目周边主要为商业居住混合区，无重大污染企业，周边环境质量较好，外环境不会对本项目产生不利影响。</w:t>
            </w:r>
          </w:p>
          <w:p>
            <w:pPr>
              <w:autoSpaceDE w:val="0"/>
              <w:autoSpaceDN w:val="0"/>
              <w:adjustRightInd w:val="0"/>
              <w:snapToGrid w:val="0"/>
              <w:spacing w:line="360" w:lineRule="auto"/>
              <w:ind w:firstLine="482" w:firstLineChars="200"/>
              <w:rPr>
                <w:rFonts w:hint="eastAsia"/>
                <w:b/>
                <w:bCs w:val="0"/>
                <w:color w:val="auto"/>
                <w:sz w:val="24"/>
                <w:highlight w:val="none"/>
                <w:lang w:val="en-US" w:eastAsia="zh-CN" w:bidi="en-US"/>
              </w:rPr>
            </w:pPr>
            <w:r>
              <w:rPr>
                <w:rFonts w:hint="eastAsia"/>
                <w:b/>
                <w:bCs w:val="0"/>
                <w:color w:val="auto"/>
                <w:sz w:val="24"/>
                <w:highlight w:val="none"/>
                <w:lang w:val="en-US" w:eastAsia="zh-CN" w:bidi="en-US"/>
              </w:rPr>
              <w:t>（2）本项目对外环境的影响</w:t>
            </w:r>
          </w:p>
          <w:p>
            <w:pPr>
              <w:autoSpaceDE w:val="0"/>
              <w:autoSpaceDN w:val="0"/>
              <w:adjustRightInd w:val="0"/>
              <w:snapToGrid w:val="0"/>
              <w:spacing w:line="360" w:lineRule="auto"/>
              <w:ind w:firstLine="480" w:firstLineChars="200"/>
              <w:rPr>
                <w:rFonts w:hint="eastAsia"/>
                <w:bCs/>
                <w:color w:val="auto"/>
                <w:sz w:val="24"/>
                <w:highlight w:val="none"/>
                <w:lang w:eastAsia="zh-CN" w:bidi="en-US"/>
              </w:rPr>
            </w:pPr>
            <w:r>
              <w:rPr>
                <w:rFonts w:hint="eastAsia"/>
                <w:b w:val="0"/>
                <w:bCs/>
                <w:color w:val="auto"/>
                <w:sz w:val="24"/>
                <w:highlight w:val="none"/>
                <w:lang w:val="en-US" w:eastAsia="zh-CN" w:bidi="en-US"/>
              </w:rPr>
              <w:t>经现场调查，项目院区周边无大型污染型企业，外环境主要以居民小区、商铺等为主，项目评价区域内无文物古迹、自然保护区、风景名胜区等特定的保护目标，外环境关系相对简单。本项目综合医院属于轻污染类项目，项目营运期在-1F设置一体化污水处理设施对废水进行处理，达标后进入宣汉县城市生活污水处理厂处理，项目废水不会对外环境造成不利影响；一体化污水处理设施废气通过在设施周边投加除臭剂、定期消毒等措施来降低恶臭对周边环境的影响；项目主要产噪设备通过隔声、基础减振等有效降噪措施后，不会对声环境造成明显不利影响；项目营运期产生的医疗废物日产日清，定期消毒，经有资质的危废处理单位收集处置，生活垃圾日产日清，交由环卫清运处置，固废去向明显，不会对外环境产生不利影响。因此，</w:t>
            </w:r>
            <w:r>
              <w:rPr>
                <w:rFonts w:hint="eastAsia"/>
                <w:bCs/>
                <w:color w:val="auto"/>
                <w:sz w:val="24"/>
                <w:highlight w:val="none"/>
                <w:lang w:eastAsia="zh-CN" w:bidi="en-US"/>
              </w:rPr>
              <w:t>本项目产生的废气、废水、噪声、固废在采取规范的污染物治理措施后，对区域环境不会产生明显影响，与外环境较为相容。</w:t>
            </w:r>
          </w:p>
          <w:p>
            <w:pPr>
              <w:pStyle w:val="28"/>
              <w:pageBreakBefore w:val="0"/>
              <w:kinsoku/>
              <w:wordWrap/>
              <w:bidi w:val="0"/>
              <w:spacing w:line="360" w:lineRule="auto"/>
              <w:ind w:right="0" w:firstLine="482" w:firstLineChars="200"/>
              <w:jc w:val="both"/>
              <w:outlineLvl w:val="9"/>
              <w:rPr>
                <w:rFonts w:hint="eastAsia"/>
                <w:bCs/>
                <w:color w:val="auto"/>
                <w:sz w:val="24"/>
                <w:highlight w:val="none"/>
                <w:lang w:eastAsia="zh-CN" w:bidi="en-US"/>
              </w:rPr>
            </w:pPr>
            <w:r>
              <w:rPr>
                <w:rFonts w:hint="eastAsia"/>
                <w:bCs/>
                <w:color w:val="auto"/>
                <w:sz w:val="24"/>
                <w:highlight w:val="none"/>
                <w:lang w:eastAsia="zh-CN" w:bidi="en-US"/>
              </w:rPr>
              <w:t>综上所述，本项目与周边环境较相容，项目选址合理。</w:t>
            </w: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480" w:firstLineChars="200"/>
              <w:jc w:val="both"/>
              <w:outlineLvl w:val="9"/>
              <w:rPr>
                <w:rFonts w:hint="eastAsia"/>
                <w:b w:val="0"/>
                <w:bCs w:val="0"/>
                <w:color w:val="auto"/>
                <w:sz w:val="24"/>
                <w:highlight w:val="none"/>
                <w:lang w:eastAsia="zh-CN" w:bidi="en-US"/>
              </w:rPr>
            </w:pPr>
          </w:p>
          <w:p>
            <w:pPr>
              <w:pStyle w:val="28"/>
              <w:pageBreakBefore w:val="0"/>
              <w:kinsoku/>
              <w:wordWrap/>
              <w:bidi w:val="0"/>
              <w:spacing w:line="360" w:lineRule="auto"/>
              <w:ind w:right="0" w:firstLine="602" w:firstLineChars="200"/>
              <w:jc w:val="both"/>
              <w:outlineLvl w:val="9"/>
              <w:rPr>
                <w:rFonts w:hint="eastAsia" w:eastAsia="黑体" w:cs="Times New Roman"/>
                <w:b/>
                <w:bCs/>
                <w:color w:val="auto"/>
                <w:sz w:val="30"/>
                <w:szCs w:val="30"/>
                <w:highlight w:val="none"/>
                <w:vertAlign w:val="baseline"/>
                <w:lang w:eastAsia="zh-CN"/>
              </w:rPr>
            </w:pPr>
          </w:p>
        </w:tc>
      </w:tr>
    </w:tbl>
    <w:p>
      <w:pPr>
        <w:pStyle w:val="28"/>
        <w:pageBreakBefore w:val="0"/>
        <w:kinsoku/>
        <w:wordWrap/>
        <w:bidi w:val="0"/>
        <w:spacing w:line="360" w:lineRule="auto"/>
        <w:ind w:left="0" w:leftChars="0" w:right="0"/>
        <w:jc w:val="center"/>
        <w:outlineLvl w:val="9"/>
        <w:rPr>
          <w:rFonts w:hint="eastAsia" w:ascii="Times New Roman" w:hAnsi="Times New Roman" w:eastAsia="黑体" w:cs="Times New Roman"/>
          <w:b w:val="0"/>
          <w:color w:val="auto"/>
          <w:sz w:val="30"/>
          <w:szCs w:val="30"/>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8"/>
        <w:pageBreakBefore w:val="0"/>
        <w:kinsoku/>
        <w:wordWrap/>
        <w:bidi w:val="0"/>
        <w:spacing w:line="360" w:lineRule="auto"/>
        <w:ind w:left="0" w:leftChars="0" w:right="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二、建设项目工程分析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456" w:type="dxa"/>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ascii="Times New Roman" w:hAnsi="Times New Roman" w:eastAsia="宋体" w:cs="Times New Roman"/>
                <w:color w:val="auto"/>
                <w:sz w:val="24"/>
                <w:szCs w:val="36"/>
                <w:highlight w:val="none"/>
                <w:vertAlign w:val="baseline"/>
                <w:lang w:val="en-US" w:eastAsia="zh-CN"/>
              </w:rPr>
              <w:t>建设内容</w:t>
            </w:r>
          </w:p>
        </w:tc>
        <w:tc>
          <w:tcPr>
            <w:tcW w:w="9281" w:type="dxa"/>
          </w:tcPr>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1、项目概况</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项目名称：</w:t>
            </w:r>
            <w:bookmarkStart w:id="0" w:name="_Hlk99387135"/>
            <w:r>
              <w:rPr>
                <w:rFonts w:hint="eastAsia" w:cs="Times New Roman"/>
                <w:b w:val="0"/>
                <w:bCs w:val="0"/>
                <w:color w:val="auto"/>
                <w:sz w:val="24"/>
                <w:szCs w:val="36"/>
                <w:highlight w:val="none"/>
                <w:vertAlign w:val="baseline"/>
                <w:lang w:val="en-US" w:eastAsia="zh-CN"/>
              </w:rPr>
              <w:t>宣汉同盛医院建设项目</w:t>
            </w:r>
          </w:p>
          <w:bookmarkEnd w:id="0"/>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建设单位：</w:t>
            </w:r>
            <w:r>
              <w:rPr>
                <w:rFonts w:hint="eastAsia" w:cs="Times New Roman"/>
                <w:b w:val="0"/>
                <w:bCs w:val="0"/>
                <w:color w:val="auto"/>
                <w:sz w:val="24"/>
                <w:szCs w:val="36"/>
                <w:highlight w:val="none"/>
                <w:vertAlign w:val="baseline"/>
                <w:lang w:val="en-US" w:eastAsia="zh-CN"/>
              </w:rPr>
              <w:t>宣汉同盛医院</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建设地点：</w:t>
            </w:r>
            <w:bookmarkStart w:id="1" w:name="_Hlk99387124"/>
            <w:r>
              <w:rPr>
                <w:rFonts w:hint="eastAsia" w:ascii="Times New Roman" w:hAnsi="Times New Roman" w:eastAsia="宋体" w:cs="Times New Roman"/>
                <w:b w:val="0"/>
                <w:bCs w:val="0"/>
                <w:color w:val="auto"/>
                <w:sz w:val="24"/>
                <w:szCs w:val="36"/>
                <w:highlight w:val="none"/>
                <w:vertAlign w:val="baseline"/>
                <w:lang w:val="en-US" w:eastAsia="zh-CN"/>
              </w:rPr>
              <w:t>四川省达州市宣汉县蒲江街道骏杰汽贸园二号楼</w:t>
            </w:r>
          </w:p>
          <w:bookmarkEnd w:id="1"/>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建设性质：</w:t>
            </w:r>
            <w:r>
              <w:rPr>
                <w:rFonts w:hint="eastAsia" w:ascii="Times New Roman" w:hAnsi="Times New Roman" w:eastAsia="宋体" w:cs="Times New Roman"/>
                <w:b w:val="0"/>
                <w:bCs w:val="0"/>
                <w:color w:val="auto"/>
                <w:sz w:val="24"/>
                <w:szCs w:val="36"/>
                <w:highlight w:val="none"/>
                <w:vertAlign w:val="baseline"/>
                <w:lang w:val="en-US" w:eastAsia="zh-CN"/>
              </w:rPr>
              <w:t>新建</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项目投资：</w:t>
            </w:r>
            <w:r>
              <w:rPr>
                <w:rFonts w:hint="eastAsia" w:ascii="Times New Roman" w:hAnsi="Times New Roman" w:eastAsia="宋体" w:cs="Times New Roman"/>
                <w:b w:val="0"/>
                <w:bCs w:val="0"/>
                <w:color w:val="auto"/>
                <w:sz w:val="24"/>
                <w:szCs w:val="36"/>
                <w:highlight w:val="none"/>
                <w:vertAlign w:val="baseline"/>
                <w:lang w:val="en-US" w:eastAsia="zh-CN"/>
              </w:rPr>
              <w:t>总投资</w:t>
            </w:r>
            <w:r>
              <w:rPr>
                <w:rFonts w:hint="eastAsia" w:cs="Times New Roman"/>
                <w:b w:val="0"/>
                <w:bCs w:val="0"/>
                <w:color w:val="auto"/>
                <w:sz w:val="24"/>
                <w:szCs w:val="36"/>
                <w:highlight w:val="none"/>
                <w:vertAlign w:val="baseline"/>
                <w:lang w:val="en-US" w:eastAsia="zh-CN"/>
              </w:rPr>
              <w:t>1000</w:t>
            </w:r>
            <w:r>
              <w:rPr>
                <w:rFonts w:hint="eastAsia" w:ascii="Times New Roman" w:hAnsi="Times New Roman" w:eastAsia="宋体" w:cs="Times New Roman"/>
                <w:b w:val="0"/>
                <w:bCs w:val="0"/>
                <w:color w:val="auto"/>
                <w:sz w:val="24"/>
                <w:szCs w:val="36"/>
                <w:highlight w:val="none"/>
                <w:vertAlign w:val="baseline"/>
                <w:lang w:val="en-US" w:eastAsia="zh-CN"/>
              </w:rPr>
              <w:t>万元</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项目定位：</w:t>
            </w:r>
            <w:r>
              <w:rPr>
                <w:rFonts w:hint="eastAsia" w:cs="Times New Roman"/>
                <w:b w:val="0"/>
                <w:bCs w:val="0"/>
                <w:color w:val="auto"/>
                <w:sz w:val="24"/>
                <w:szCs w:val="36"/>
                <w:highlight w:val="none"/>
                <w:vertAlign w:val="baseline"/>
                <w:lang w:val="en-US" w:eastAsia="zh-CN"/>
              </w:rPr>
              <w:t>综合医院</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建设内容：</w:t>
            </w:r>
            <w:r>
              <w:rPr>
                <w:rFonts w:hint="eastAsia" w:cs="Times New Roman"/>
                <w:b w:val="0"/>
                <w:bCs w:val="0"/>
                <w:color w:val="auto"/>
                <w:sz w:val="24"/>
                <w:szCs w:val="36"/>
                <w:highlight w:val="none"/>
                <w:vertAlign w:val="baseline"/>
                <w:lang w:val="en-US" w:eastAsia="zh-CN"/>
              </w:rPr>
              <w:t>项目租赁</w:t>
            </w:r>
            <w:r>
              <w:rPr>
                <w:rFonts w:hint="eastAsia" w:cs="Times New Roman"/>
                <w:color w:val="auto"/>
                <w:sz w:val="24"/>
                <w:szCs w:val="24"/>
                <w:highlight w:val="none"/>
                <w:lang w:eastAsia="zh-CN"/>
              </w:rPr>
              <w:t>达州市宣汉县</w:t>
            </w:r>
            <w:r>
              <w:rPr>
                <w:rFonts w:hint="eastAsia" w:cs="Times New Roman"/>
                <w:color w:val="auto"/>
                <w:sz w:val="24"/>
                <w:szCs w:val="24"/>
                <w:highlight w:val="none"/>
                <w:lang w:val="en-US" w:eastAsia="zh-CN"/>
              </w:rPr>
              <w:t>蒲江街道骏杰汽贸园二号楼</w:t>
            </w:r>
            <w:r>
              <w:rPr>
                <w:rFonts w:hint="eastAsia" w:cs="Times New Roman"/>
                <w:b w:val="0"/>
                <w:bCs w:val="0"/>
                <w:color w:val="auto"/>
                <w:sz w:val="24"/>
                <w:szCs w:val="36"/>
                <w:highlight w:val="none"/>
                <w:vertAlign w:val="baseline"/>
                <w:lang w:val="en-US" w:eastAsia="zh-CN"/>
              </w:rPr>
              <w:t>建设宣汉同盛医院建设项目，</w:t>
            </w:r>
            <w:r>
              <w:rPr>
                <w:rFonts w:hint="eastAsia" w:cs="Times New Roman"/>
                <w:color w:val="auto"/>
                <w:sz w:val="24"/>
                <w:szCs w:val="24"/>
                <w:highlight w:val="none"/>
                <w:lang w:val="en-US" w:eastAsia="zh-CN"/>
              </w:rPr>
              <w:t>租赁的建筑面积约为</w:t>
            </w:r>
            <w:r>
              <w:rPr>
                <w:rFonts w:hint="eastAsia" w:cs="Times New Roman"/>
                <w:b w:val="0"/>
                <w:bCs w:val="0"/>
                <w:color w:val="auto"/>
                <w:sz w:val="24"/>
                <w:szCs w:val="36"/>
                <w:highlight w:val="none"/>
                <w:vertAlign w:val="baseline"/>
                <w:lang w:val="en-US" w:eastAsia="zh-CN"/>
              </w:rPr>
              <w:t>7000</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cs="Times New Roman"/>
                <w:b w:val="0"/>
                <w:bCs w:val="0"/>
                <w:color w:val="auto"/>
                <w:sz w:val="24"/>
                <w:szCs w:val="36"/>
                <w:highlight w:val="none"/>
                <w:vertAlign w:val="baseline"/>
                <w:lang w:val="en-US" w:eastAsia="zh-CN"/>
              </w:rPr>
              <w:t>。主要建设内容为：利用已租赁房屋装修为1栋住院部（-1F~7F）、1栋发热门诊（-1F~1F）、1栋业务楼（</w:t>
            </w:r>
            <w:r>
              <w:rPr>
                <w:rFonts w:hint="eastAsia"/>
                <w:b w:val="0"/>
                <w:bCs/>
                <w:color w:val="auto"/>
                <w:sz w:val="24"/>
                <w:highlight w:val="none"/>
                <w:lang w:val="en-US" w:eastAsia="zh-CN" w:bidi="en-US"/>
              </w:rPr>
              <w:t>血透中心1F和行政办公区2F</w:t>
            </w:r>
            <w:r>
              <w:rPr>
                <w:rFonts w:hint="eastAsia" w:cs="Times New Roman"/>
                <w:b w:val="0"/>
                <w:bCs w:val="0"/>
                <w:color w:val="auto"/>
                <w:sz w:val="24"/>
                <w:szCs w:val="36"/>
                <w:highlight w:val="none"/>
                <w:vertAlign w:val="baseline"/>
                <w:lang w:val="en-US" w:eastAsia="zh-CN"/>
              </w:rPr>
              <w:t>）</w:t>
            </w:r>
            <w:r>
              <w:rPr>
                <w:rFonts w:hint="eastAsia"/>
                <w:b w:val="0"/>
                <w:bCs/>
                <w:color w:val="auto"/>
                <w:sz w:val="24"/>
                <w:highlight w:val="none"/>
                <w:lang w:val="en-US" w:eastAsia="zh-CN" w:bidi="en-US"/>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cs="Times New Roman"/>
                <w:color w:val="auto"/>
                <w:sz w:val="24"/>
                <w:szCs w:val="24"/>
                <w:highlight w:val="none"/>
                <w:lang w:val="en-US" w:eastAsia="zh-CN"/>
              </w:rPr>
            </w:pPr>
            <w:r>
              <w:rPr>
                <w:rFonts w:hint="eastAsia" w:ascii="Times New Roman" w:hAnsi="Times New Roman" w:eastAsia="宋体" w:cs="Times New Roman"/>
                <w:b/>
                <w:bCs/>
                <w:color w:val="auto"/>
                <w:sz w:val="24"/>
                <w:szCs w:val="36"/>
                <w:highlight w:val="none"/>
                <w:vertAlign w:val="baseline"/>
                <w:lang w:val="en-US" w:eastAsia="zh-CN"/>
              </w:rPr>
              <w:t>科室设置：</w:t>
            </w:r>
            <w:r>
              <w:rPr>
                <w:rFonts w:hint="eastAsia" w:cs="Times New Roman"/>
                <w:b w:val="0"/>
                <w:bCs w:val="0"/>
                <w:color w:val="auto"/>
                <w:sz w:val="24"/>
                <w:szCs w:val="36"/>
                <w:highlight w:val="none"/>
                <w:vertAlign w:val="baseline"/>
                <w:lang w:val="en-US" w:eastAsia="zh-CN"/>
              </w:rPr>
              <w:t>本项目共设置</w:t>
            </w:r>
            <w:r>
              <w:rPr>
                <w:rFonts w:hint="eastAsia" w:ascii="Times New Roman" w:hAnsi="Times New Roman" w:eastAsia="宋体" w:cs="Times New Roman"/>
                <w:b w:val="0"/>
                <w:bCs w:val="0"/>
                <w:color w:val="auto"/>
                <w:sz w:val="24"/>
                <w:szCs w:val="36"/>
                <w:highlight w:val="none"/>
                <w:vertAlign w:val="baseline"/>
                <w:lang w:val="en-US" w:eastAsia="zh-CN"/>
              </w:rPr>
              <w:t>床位</w:t>
            </w:r>
            <w:r>
              <w:rPr>
                <w:rFonts w:hint="eastAsia" w:cs="Times New Roman"/>
                <w:b w:val="0"/>
                <w:bCs w:val="0"/>
                <w:color w:val="auto"/>
                <w:sz w:val="24"/>
                <w:szCs w:val="36"/>
                <w:highlight w:val="none"/>
                <w:vertAlign w:val="baseline"/>
                <w:lang w:val="en-US" w:eastAsia="zh-CN"/>
              </w:rPr>
              <w:t>105</w:t>
            </w:r>
            <w:r>
              <w:rPr>
                <w:rFonts w:hint="eastAsia" w:ascii="Times New Roman" w:hAnsi="Times New Roman" w:eastAsia="宋体" w:cs="Times New Roman"/>
                <w:b w:val="0"/>
                <w:bCs w:val="0"/>
                <w:color w:val="auto"/>
                <w:sz w:val="24"/>
                <w:szCs w:val="36"/>
                <w:highlight w:val="none"/>
                <w:vertAlign w:val="baseline"/>
                <w:lang w:val="en-US" w:eastAsia="zh-CN"/>
              </w:rPr>
              <w:t>张</w:t>
            </w:r>
            <w:r>
              <w:rPr>
                <w:rFonts w:hint="eastAsia" w:cs="Times New Roman"/>
                <w:b w:val="0"/>
                <w:bCs w:val="0"/>
                <w:color w:val="auto"/>
                <w:sz w:val="24"/>
                <w:szCs w:val="36"/>
                <w:highlight w:val="none"/>
                <w:vertAlign w:val="baseline"/>
                <w:lang w:val="en-US" w:eastAsia="zh-CN"/>
              </w:rPr>
              <w:t>，设计门诊接待量100</w:t>
            </w:r>
            <w:r>
              <w:rPr>
                <w:rFonts w:hint="default" w:ascii="Times New Roman" w:hAnsi="Times New Roman" w:cs="Times New Roman"/>
                <w:b w:val="0"/>
                <w:bCs w:val="0"/>
                <w:color w:val="auto"/>
                <w:sz w:val="24"/>
                <w:szCs w:val="36"/>
                <w:highlight w:val="none"/>
                <w:vertAlign w:val="baseline"/>
                <w:lang w:val="en-US" w:eastAsia="zh-CN"/>
              </w:rPr>
              <w:t>人·次/d</w:t>
            </w:r>
            <w:r>
              <w:rPr>
                <w:rFonts w:hint="eastAsia" w:cs="Times New Roman"/>
                <w:b w:val="0"/>
                <w:bCs w:val="0"/>
                <w:color w:val="auto"/>
                <w:sz w:val="24"/>
                <w:szCs w:val="36"/>
                <w:highlight w:val="none"/>
                <w:vertAlign w:val="baseline"/>
                <w:lang w:val="en-US" w:eastAsia="zh-CN"/>
              </w:rPr>
              <w:t>。医院诊疗科目包含</w:t>
            </w:r>
            <w:r>
              <w:rPr>
                <w:rFonts w:hint="eastAsia" w:ascii="Times New Roman" w:hAnsi="Times New Roman" w:eastAsia="宋体" w:cs="Times New Roman"/>
                <w:color w:val="auto"/>
                <w:sz w:val="24"/>
                <w:szCs w:val="32"/>
                <w:highlight w:val="none"/>
                <w:lang w:val="en-US" w:eastAsia="zh-CN"/>
              </w:rPr>
              <w:t>预防保健科、内科：呼吸内科专业；心血管内科专业；肾病学专业（血液透析机23台）、外科、妇产科、儿科、急诊医学科、麻醉科、医学检验科：临床体液、血液专业；临床微生物学专业；临床细胞分子遗传学专业、医学影像科：X线诊断专业；心电诊断专业、中医科</w:t>
            </w:r>
            <w:r>
              <w:rPr>
                <w:rFonts w:hint="eastAsia" w:cs="Times New Roman"/>
                <w:color w:val="auto"/>
                <w:sz w:val="24"/>
                <w:szCs w:val="24"/>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特别说明：</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本项目不设置传染科门诊与病房，在检查过程中一旦发现确诊或疑似传染病病人，立即要求患者去专业传染病医院就诊，并按照《中华人民共和国传染病防治法》（2004年12月1日起施行）等法律法规，遵循疫情报告属地管理原则，按照国务院规定的或者国务院卫生行政部门规定的内容、程序、方式和时限报告。</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②项目不设牙科，不涉及含汞废水。</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③项目医学影像照片采用数码打印，无洗印废水产生。</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u w:val="none"/>
                <w:lang w:val="en-US" w:eastAsia="zh-CN"/>
              </w:rPr>
              <w:t>④</w:t>
            </w:r>
            <w:r>
              <w:rPr>
                <w:rFonts w:hint="eastAsia" w:cs="Times New Roman"/>
                <w:b w:val="0"/>
                <w:bCs w:val="0"/>
                <w:color w:val="auto"/>
                <w:sz w:val="24"/>
                <w:szCs w:val="24"/>
                <w:highlight w:val="none"/>
                <w:lang w:val="en-US" w:eastAsia="zh-CN"/>
              </w:rPr>
              <w:t>项目检验科内的血液、血清的化学检查和病理、血液化验均使用外购的成品一次性试剂盒检测，不会自配检验试剂，不会产生相应废水，产生的废试剂盒作危废处理。</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⑤</w:t>
            </w:r>
            <w:r>
              <w:rPr>
                <w:rFonts w:hint="eastAsia" w:cs="Times New Roman"/>
                <w:b w:val="0"/>
                <w:bCs w:val="0"/>
                <w:color w:val="auto"/>
                <w:sz w:val="24"/>
                <w:szCs w:val="24"/>
                <w:highlight w:val="none"/>
                <w:u w:val="none"/>
                <w:lang w:val="en-US" w:eastAsia="zh-CN"/>
              </w:rPr>
              <w:t>项目不提供中药煎制服务</w:t>
            </w:r>
            <w:r>
              <w:rPr>
                <w:rFonts w:hint="eastAsia" w:cs="Times New Roman"/>
                <w:b w:val="0"/>
                <w:bCs w:val="0"/>
                <w:color w:val="auto"/>
                <w:sz w:val="24"/>
                <w:szCs w:val="24"/>
                <w:highlight w:val="none"/>
                <w:lang w:val="en-US" w:eastAsia="zh-CN"/>
              </w:rPr>
              <w:t>，</w:t>
            </w:r>
            <w:r>
              <w:rPr>
                <w:rFonts w:hint="eastAsia" w:cs="Times New Roman"/>
                <w:b w:val="0"/>
                <w:bCs w:val="0"/>
                <w:color w:val="auto"/>
                <w:sz w:val="24"/>
                <w:szCs w:val="24"/>
                <w:highlight w:val="none"/>
                <w:u w:val="none"/>
                <w:lang w:val="en-US" w:eastAsia="zh-CN"/>
              </w:rPr>
              <w:t>不设浆洗房。</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⑥项目设置检验科和微生物实验室，属于P2等级试验室。</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u w:val="single"/>
                <w:lang w:val="en-US" w:eastAsia="zh-CN"/>
              </w:rPr>
              <w:t>⑦本次评价不包含辐射评价，若涉及影像科/放射科辐射设备（如CT、X光机等）需另行环评。</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2、项目组成及主要环境问题</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项目组成及主要环境问题见下表。</w:t>
            </w: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rPr>
              <w:t>表2-1 项目组成及主要环境问题</w:t>
            </w:r>
          </w:p>
          <w:tbl>
            <w:tblPr>
              <w:tblStyle w:val="21"/>
              <w:tblW w:w="9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090"/>
              <w:gridCol w:w="4446"/>
              <w:gridCol w:w="1077"/>
              <w:gridCol w:w="1267"/>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工程类别</w:t>
                  </w:r>
                </w:p>
              </w:tc>
              <w:tc>
                <w:tcPr>
                  <w:tcW w:w="3006" w:type="pct"/>
                  <w:gridSpan w:val="2"/>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建设内容及规模</w:t>
                  </w:r>
                </w:p>
              </w:tc>
              <w:tc>
                <w:tcPr>
                  <w:tcW w:w="1272" w:type="pct"/>
                  <w:gridSpan w:val="2"/>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可能产生的环境问题</w:t>
                  </w:r>
                </w:p>
              </w:tc>
              <w:tc>
                <w:tcPr>
                  <w:tcW w:w="355"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006" w:type="pct"/>
                  <w:gridSpan w:val="2"/>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施工期</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营运期</w:t>
                  </w:r>
                </w:p>
              </w:tc>
              <w:tc>
                <w:tcPr>
                  <w:tcW w:w="35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主体工程</w:t>
                  </w:r>
                </w:p>
              </w:tc>
              <w:tc>
                <w:tcPr>
                  <w:tcW w:w="591"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发热门诊(-1F~1F)</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-1F，建筑面积约650m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，设置</w:t>
                  </w:r>
                  <w:r>
                    <w:rPr>
                      <w:rFonts w:hint="eastAsia"/>
                      <w:color w:val="auto"/>
                      <w:kern w:val="0"/>
                      <w:szCs w:val="21"/>
                      <w:highlight w:val="none"/>
                      <w:lang w:val="en-US" w:eastAsia="zh-CN"/>
                    </w:rPr>
                    <w:t>柴油发电机房100</w:t>
                  </w:r>
                  <w:r>
                    <w:rPr>
                      <w:rFonts w:hint="eastAsia" w:cs="Times New Roman"/>
                      <w:color w:val="auto"/>
                      <w:szCs w:val="21"/>
                      <w:highlight w:val="none"/>
                      <w:lang w:val="en-US" w:eastAsia="zh-CN"/>
                    </w:rPr>
                    <w:t>m</w:t>
                  </w:r>
                  <w:r>
                    <w:rPr>
                      <w:rFonts w:hint="eastAsia" w:cs="Times New Roman"/>
                      <w:color w:val="auto"/>
                      <w:szCs w:val="21"/>
                      <w:highlight w:val="none"/>
                      <w:vertAlign w:val="superscript"/>
                      <w:lang w:val="en-US" w:eastAsia="zh-CN"/>
                    </w:rPr>
                    <w:t>2</w:t>
                  </w:r>
                  <w:r>
                    <w:rPr>
                      <w:rFonts w:hint="eastAsia"/>
                      <w:color w:val="auto"/>
                      <w:kern w:val="0"/>
                      <w:szCs w:val="21"/>
                      <w:highlight w:val="none"/>
                      <w:lang w:val="en-US" w:eastAsia="zh-CN"/>
                    </w:rPr>
                    <w:t>（含储油间5</w:t>
                  </w:r>
                  <w:r>
                    <w:rPr>
                      <w:rFonts w:hint="eastAsia" w:cs="Times New Roman"/>
                      <w:color w:val="auto"/>
                      <w:szCs w:val="21"/>
                      <w:highlight w:val="none"/>
                      <w:lang w:val="en-US" w:eastAsia="zh-CN"/>
                    </w:rPr>
                    <w:t>m</w:t>
                  </w:r>
                  <w:r>
                    <w:rPr>
                      <w:rFonts w:hint="eastAsia" w:cs="Times New Roman"/>
                      <w:color w:val="auto"/>
                      <w:szCs w:val="21"/>
                      <w:highlight w:val="none"/>
                      <w:vertAlign w:val="superscript"/>
                      <w:lang w:val="en-US" w:eastAsia="zh-CN"/>
                    </w:rPr>
                    <w:t>2</w:t>
                  </w:r>
                  <w:r>
                    <w:rPr>
                      <w:rFonts w:hint="eastAsia"/>
                      <w:color w:val="auto"/>
                      <w:kern w:val="0"/>
                      <w:szCs w:val="21"/>
                      <w:highlight w:val="none"/>
                      <w:lang w:val="en-US" w:eastAsia="zh-CN"/>
                    </w:rPr>
                    <w:t>）</w:t>
                  </w:r>
                </w:p>
              </w:tc>
              <w:tc>
                <w:tcPr>
                  <w:tcW w:w="584"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olor w:val="auto"/>
                      <w:szCs w:val="21"/>
                      <w:highlight w:val="none"/>
                    </w:rPr>
                  </w:pPr>
                  <w:r>
                    <w:rPr>
                      <w:rFonts w:hint="eastAsia"/>
                      <w:color w:val="auto"/>
                      <w:szCs w:val="21"/>
                      <w:highlight w:val="none"/>
                    </w:rPr>
                    <w:t>施工扬尘</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olor w:val="auto"/>
                      <w:szCs w:val="21"/>
                      <w:highlight w:val="none"/>
                      <w:lang w:val="en-US" w:eastAsia="zh-CN"/>
                    </w:rPr>
                  </w:pPr>
                  <w:r>
                    <w:rPr>
                      <w:rFonts w:hint="eastAsia"/>
                      <w:color w:val="auto"/>
                      <w:szCs w:val="21"/>
                      <w:highlight w:val="none"/>
                      <w:lang w:val="en-US" w:eastAsia="zh-CN"/>
                    </w:rPr>
                    <w:t>建筑垃圾</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生活垃圾</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eastAsia="宋体"/>
                      <w:color w:val="auto"/>
                      <w:szCs w:val="21"/>
                      <w:highlight w:val="none"/>
                      <w:lang w:eastAsia="zh-CN"/>
                    </w:rPr>
                  </w:pPr>
                  <w:r>
                    <w:rPr>
                      <w:rFonts w:hint="eastAsia" w:cs="Times New Roman"/>
                      <w:color w:val="auto"/>
                      <w:szCs w:val="21"/>
                      <w:highlight w:val="none"/>
                      <w:lang w:val="en-US" w:eastAsia="zh-CN"/>
                    </w:rPr>
                    <w:t>施工</w:t>
                  </w:r>
                  <w:r>
                    <w:rPr>
                      <w:rFonts w:hint="eastAsia"/>
                      <w:color w:val="auto"/>
                      <w:szCs w:val="21"/>
                      <w:highlight w:val="none"/>
                    </w:rPr>
                    <w:t>废水</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olor w:val="auto"/>
                      <w:szCs w:val="21"/>
                      <w:highlight w:val="none"/>
                      <w:lang w:val="en-US" w:eastAsia="zh-CN"/>
                    </w:rPr>
                  </w:pPr>
                  <w:r>
                    <w:rPr>
                      <w:rFonts w:hint="eastAsia"/>
                      <w:color w:val="auto"/>
                      <w:szCs w:val="21"/>
                      <w:highlight w:val="none"/>
                      <w:lang w:val="en-US" w:eastAsia="zh-CN"/>
                    </w:rPr>
                    <w:t>生活污水</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r>
                    <w:rPr>
                      <w:rFonts w:hint="eastAsia"/>
                      <w:color w:val="auto"/>
                      <w:szCs w:val="21"/>
                      <w:highlight w:val="none"/>
                    </w:rPr>
                    <w:t>噪声</w:t>
                  </w:r>
                  <w:r>
                    <w:rPr>
                      <w:rFonts w:hint="eastAsia" w:cs="Times New Roman"/>
                      <w:color w:val="auto"/>
                      <w:szCs w:val="21"/>
                      <w:highlight w:val="none"/>
                      <w:lang w:val="en-US" w:eastAsia="zh-CN"/>
                    </w:rPr>
                    <w:t>等</w:t>
                  </w:r>
                </w:p>
              </w:tc>
              <w:tc>
                <w:tcPr>
                  <w:tcW w:w="687"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废气</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生活污水</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生活垃圾</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医疗废物</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噪声等</w:t>
                  </w:r>
                </w:p>
              </w:tc>
              <w:tc>
                <w:tcPr>
                  <w:tcW w:w="355"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1F，建筑面积约650m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，设置</w:t>
                  </w:r>
                  <w:r>
                    <w:rPr>
                      <w:rFonts w:hint="eastAsia"/>
                      <w:color w:val="auto"/>
                      <w:kern w:val="0"/>
                      <w:szCs w:val="21"/>
                      <w:highlight w:val="none"/>
                      <w:lang w:val="en-US" w:eastAsia="zh-CN"/>
                    </w:rPr>
                    <w:t>患者等候区、接诊台、缓冲间、药房、消毒间、留观室、治疗室、处置室、污物间、检验科、抽血室、CT室、操作间、布草间、更衣室、值班室、医生办公室、诊断室、挂号、划价、收费室等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355"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住院部(-1F~7F)</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-1F，建筑面积约1200m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，设置DR室、CT室、供应室、核磁共振、食堂、</w:t>
                  </w:r>
                  <w:r>
                    <w:rPr>
                      <w:rFonts w:hint="eastAsia"/>
                      <w:color w:val="auto"/>
                      <w:kern w:val="0"/>
                      <w:szCs w:val="21"/>
                      <w:highlight w:val="none"/>
                      <w:lang w:val="en-US" w:eastAsia="zh-CN"/>
                    </w:rPr>
                    <w:t>危废暂存间、一般固废暂存间、一体化污水处理设施等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p>
              </w:tc>
              <w:tc>
                <w:tcPr>
                  <w:tcW w:w="355"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b/>
                      <w:bCs/>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left"/>
                    <w:rPr>
                      <w:rFonts w:hint="eastAsia" w:cs="Times New Roman"/>
                      <w:color w:val="auto"/>
                      <w:szCs w:val="21"/>
                      <w:highlight w:val="none"/>
                      <w:lang w:val="en-US" w:eastAsia="zh-CN"/>
                    </w:rPr>
                  </w:pPr>
                  <w:r>
                    <w:rPr>
                      <w:rFonts w:hint="eastAsia" w:cs="Times New Roman"/>
                      <w:color w:val="auto"/>
                      <w:szCs w:val="21"/>
                      <w:highlight w:val="none"/>
                      <w:lang w:val="en-US" w:eastAsia="zh-CN"/>
                    </w:rPr>
                    <w:t>1F，建筑面积约400m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，设置</w:t>
                  </w:r>
                  <w:r>
                    <w:rPr>
                      <w:rFonts w:hint="eastAsia"/>
                      <w:color w:val="auto"/>
                      <w:kern w:val="0"/>
                      <w:szCs w:val="21"/>
                      <w:highlight w:val="none"/>
                      <w:lang w:val="en-US" w:eastAsia="zh-CN"/>
                    </w:rPr>
                    <w:t>导诊台、划价收费室、药房等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355"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2F，建筑面积1200m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，为</w:t>
                  </w:r>
                  <w:r>
                    <w:rPr>
                      <w:rFonts w:hint="eastAsia" w:cs="Times New Roman"/>
                      <w:b/>
                      <w:bCs/>
                      <w:color w:val="auto"/>
                      <w:szCs w:val="21"/>
                      <w:highlight w:val="none"/>
                      <w:lang w:val="en-US" w:eastAsia="zh-CN"/>
                    </w:rPr>
                    <w:t>肾内科诊疗区</w:t>
                  </w:r>
                  <w:r>
                    <w:rPr>
                      <w:rFonts w:hint="eastAsia" w:cs="Times New Roman"/>
                      <w:color w:val="auto"/>
                      <w:szCs w:val="21"/>
                      <w:highlight w:val="none"/>
                      <w:lang w:val="en-US" w:eastAsia="zh-CN"/>
                    </w:rPr>
                    <w:t>，设置</w:t>
                  </w:r>
                  <w:r>
                    <w:rPr>
                      <w:rFonts w:hint="eastAsia"/>
                      <w:color w:val="auto"/>
                      <w:kern w:val="0"/>
                      <w:szCs w:val="21"/>
                      <w:highlight w:val="none"/>
                      <w:lang w:val="en-US" w:eastAsia="zh-CN"/>
                    </w:rPr>
                    <w:t>医技科、医生办公室、护士站、治疗室、病房、污物间、等候大厅、检验大厅、微生物实验室、无菌室、药剂准备室、标本制备室、扩增分析室、清洗消毒间、检验实验区等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3F，建筑面积1200m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，为</w:t>
                  </w:r>
                  <w:r>
                    <w:rPr>
                      <w:rFonts w:hint="eastAsia" w:cs="Times New Roman"/>
                      <w:b/>
                      <w:bCs/>
                      <w:color w:val="auto"/>
                      <w:szCs w:val="21"/>
                      <w:highlight w:val="none"/>
                      <w:lang w:val="en-US" w:eastAsia="zh-CN"/>
                    </w:rPr>
                    <w:t>内科诊疗区</w:t>
                  </w:r>
                  <w:r>
                    <w:rPr>
                      <w:rFonts w:hint="eastAsia" w:cs="Times New Roman"/>
                      <w:color w:val="auto"/>
                      <w:szCs w:val="21"/>
                      <w:highlight w:val="none"/>
                      <w:lang w:val="en-US" w:eastAsia="zh-CN"/>
                    </w:rPr>
                    <w:t>，设置</w:t>
                  </w:r>
                  <w:r>
                    <w:rPr>
                      <w:rFonts w:hint="eastAsia"/>
                      <w:color w:val="auto"/>
                      <w:kern w:val="0"/>
                      <w:szCs w:val="21"/>
                      <w:highlight w:val="none"/>
                      <w:lang w:val="en-US" w:eastAsia="zh-CN"/>
                    </w:rPr>
                    <w:t>主任办公室、布草间、保洁室、医生办公室、护士站、护士值班室、治疗室、病房、污物间、卫生间等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color w:val="auto"/>
                      <w:szCs w:val="21"/>
                      <w:highlight w:val="none"/>
                      <w:lang w:val="en-US" w:eastAsia="zh-CN"/>
                    </w:rPr>
                  </w:pPr>
                  <w:r>
                    <w:rPr>
                      <w:rFonts w:hint="eastAsia" w:cs="Times New Roman"/>
                      <w:color w:val="auto"/>
                      <w:szCs w:val="21"/>
                      <w:highlight w:val="none"/>
                      <w:lang w:val="en-US" w:eastAsia="zh-CN"/>
                    </w:rPr>
                    <w:t>4F，建筑面积1200m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，为</w:t>
                  </w:r>
                  <w:r>
                    <w:rPr>
                      <w:rFonts w:hint="eastAsia" w:cs="Times New Roman"/>
                      <w:b/>
                      <w:bCs/>
                      <w:color w:val="auto"/>
                      <w:szCs w:val="21"/>
                      <w:highlight w:val="none"/>
                      <w:lang w:val="en-US" w:eastAsia="zh-CN"/>
                    </w:rPr>
                    <w:t>外科诊疗区</w:t>
                  </w:r>
                  <w:r>
                    <w:rPr>
                      <w:rFonts w:hint="eastAsia" w:cs="Times New Roman"/>
                      <w:color w:val="auto"/>
                      <w:szCs w:val="21"/>
                      <w:highlight w:val="none"/>
                      <w:lang w:val="en-US" w:eastAsia="zh-CN"/>
                    </w:rPr>
                    <w:t>，</w:t>
                  </w:r>
                  <w:r>
                    <w:rPr>
                      <w:rFonts w:hint="eastAsia"/>
                      <w:color w:val="auto"/>
                      <w:kern w:val="0"/>
                      <w:szCs w:val="21"/>
                      <w:highlight w:val="none"/>
                      <w:lang w:val="en-US" w:eastAsia="zh-CN"/>
                    </w:rPr>
                    <w:t>设置主任办公室、布草间、保洁室、医生办公室、护士站、护士值班室、治疗室、病房、污物间、卫生间等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color w:val="auto"/>
                      <w:szCs w:val="21"/>
                      <w:highlight w:val="none"/>
                      <w:lang w:val="en-US" w:eastAsia="zh-CN"/>
                    </w:rPr>
                  </w:pPr>
                  <w:r>
                    <w:rPr>
                      <w:rFonts w:hint="eastAsia" w:cs="Times New Roman"/>
                      <w:color w:val="auto"/>
                      <w:szCs w:val="21"/>
                      <w:highlight w:val="none"/>
                      <w:lang w:val="en-US" w:eastAsia="zh-CN"/>
                    </w:rPr>
                    <w:t>5F，建筑面积1200m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，为</w:t>
                  </w:r>
                  <w:r>
                    <w:rPr>
                      <w:rFonts w:hint="eastAsia" w:cs="Times New Roman"/>
                      <w:b/>
                      <w:bCs/>
                      <w:color w:val="auto"/>
                      <w:szCs w:val="21"/>
                      <w:highlight w:val="none"/>
                      <w:lang w:val="en-US" w:eastAsia="zh-CN"/>
                    </w:rPr>
                    <w:t>妇产科诊疗区</w:t>
                  </w:r>
                  <w:r>
                    <w:rPr>
                      <w:rFonts w:hint="eastAsia" w:cs="Times New Roman"/>
                      <w:color w:val="auto"/>
                      <w:szCs w:val="21"/>
                      <w:highlight w:val="none"/>
                      <w:lang w:val="en-US" w:eastAsia="zh-CN"/>
                    </w:rPr>
                    <w:t>，设置</w:t>
                  </w:r>
                  <w:r>
                    <w:rPr>
                      <w:rFonts w:hint="eastAsia"/>
                      <w:color w:val="auto"/>
                      <w:kern w:val="0"/>
                      <w:szCs w:val="21"/>
                      <w:highlight w:val="none"/>
                      <w:lang w:val="en-US" w:eastAsia="zh-CN"/>
                    </w:rPr>
                    <w:t>医生办公室、护士站、治疗室、病房、污物间等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color w:val="auto"/>
                      <w:szCs w:val="21"/>
                      <w:highlight w:val="none"/>
                      <w:lang w:val="en-US" w:eastAsia="zh-CN"/>
                    </w:rPr>
                  </w:pPr>
                  <w:r>
                    <w:rPr>
                      <w:rFonts w:hint="eastAsia" w:cs="Times New Roman"/>
                      <w:color w:val="auto"/>
                      <w:szCs w:val="21"/>
                      <w:highlight w:val="none"/>
                      <w:lang w:val="en-US" w:eastAsia="zh-CN"/>
                    </w:rPr>
                    <w:t>6F，建筑面积1200m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，为</w:t>
                  </w:r>
                  <w:r>
                    <w:rPr>
                      <w:rFonts w:hint="eastAsia" w:cs="Times New Roman"/>
                      <w:b/>
                      <w:bCs/>
                      <w:color w:val="auto"/>
                      <w:szCs w:val="21"/>
                      <w:highlight w:val="none"/>
                      <w:lang w:val="en-US" w:eastAsia="zh-CN"/>
                    </w:rPr>
                    <w:t>医疗康养区</w:t>
                  </w:r>
                  <w:r>
                    <w:rPr>
                      <w:rFonts w:hint="eastAsia" w:cs="Times New Roman"/>
                      <w:color w:val="auto"/>
                      <w:szCs w:val="21"/>
                      <w:highlight w:val="none"/>
                      <w:lang w:val="en-US" w:eastAsia="zh-CN"/>
                    </w:rPr>
                    <w:t>，设置</w:t>
                  </w:r>
                  <w:r>
                    <w:rPr>
                      <w:rFonts w:hint="eastAsia"/>
                      <w:color w:val="auto"/>
                      <w:kern w:val="0"/>
                      <w:szCs w:val="21"/>
                      <w:highlight w:val="none"/>
                      <w:lang w:val="en-US" w:eastAsia="zh-CN"/>
                    </w:rPr>
                    <w:t>医养康复科、病房等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color w:val="auto"/>
                      <w:szCs w:val="21"/>
                      <w:highlight w:val="none"/>
                      <w:lang w:val="en-US" w:eastAsia="zh-CN"/>
                    </w:rPr>
                  </w:pPr>
                  <w:r>
                    <w:rPr>
                      <w:rFonts w:hint="eastAsia" w:cs="Times New Roman"/>
                      <w:color w:val="auto"/>
                      <w:szCs w:val="21"/>
                      <w:highlight w:val="none"/>
                      <w:lang w:val="en-US" w:eastAsia="zh-CN"/>
                    </w:rPr>
                    <w:t>7F，建筑面积1200m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，为</w:t>
                  </w:r>
                  <w:r>
                    <w:rPr>
                      <w:rFonts w:hint="eastAsia" w:cs="Times New Roman"/>
                      <w:b/>
                      <w:bCs/>
                      <w:color w:val="auto"/>
                      <w:szCs w:val="21"/>
                      <w:highlight w:val="none"/>
                      <w:lang w:val="en-US" w:eastAsia="zh-CN"/>
                    </w:rPr>
                    <w:t>手术区</w:t>
                  </w:r>
                  <w:r>
                    <w:rPr>
                      <w:rFonts w:hint="eastAsia" w:cs="Times New Roman"/>
                      <w:color w:val="auto"/>
                      <w:szCs w:val="21"/>
                      <w:highlight w:val="none"/>
                      <w:lang w:val="en-US" w:eastAsia="zh-CN"/>
                    </w:rPr>
                    <w:t>，设置</w:t>
                  </w:r>
                  <w:r>
                    <w:rPr>
                      <w:rFonts w:hint="eastAsia"/>
                      <w:color w:val="auto"/>
                      <w:kern w:val="0"/>
                      <w:szCs w:val="21"/>
                      <w:highlight w:val="none"/>
                      <w:lang w:val="en-US" w:eastAsia="zh-CN"/>
                    </w:rPr>
                    <w:t>值班室、办公室、麻醉复苏、手术室、病房、ICU大厅、治疗室、器械间、处置室、被服间、污物间等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业务楼(1F~2F)</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1F，建筑面积1500m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，为</w:t>
                  </w:r>
                  <w:r>
                    <w:rPr>
                      <w:rFonts w:hint="eastAsia" w:cs="Times New Roman"/>
                      <w:b/>
                      <w:bCs/>
                      <w:color w:val="auto"/>
                      <w:szCs w:val="21"/>
                      <w:highlight w:val="none"/>
                      <w:lang w:val="en-US" w:eastAsia="zh-CN"/>
                    </w:rPr>
                    <w:t>血透中心</w:t>
                  </w:r>
                  <w:r>
                    <w:rPr>
                      <w:rFonts w:hint="eastAsia" w:cs="Times New Roman"/>
                      <w:color w:val="auto"/>
                      <w:szCs w:val="21"/>
                      <w:highlight w:val="none"/>
                      <w:lang w:val="en-US" w:eastAsia="zh-CN"/>
                    </w:rPr>
                    <w:t>，设置</w:t>
                  </w:r>
                  <w:r>
                    <w:rPr>
                      <w:rFonts w:hint="eastAsia"/>
                      <w:color w:val="auto"/>
                      <w:kern w:val="0"/>
                      <w:szCs w:val="21"/>
                      <w:highlight w:val="none"/>
                      <w:lang w:val="en-US" w:eastAsia="zh-CN"/>
                    </w:rPr>
                    <w:t>更衣室、接诊台、患者等候区、护士站、医生办公学习区、主任办公室、护士长办公室、男女值班室、干库房、无菌库房、布类库房、中央供液房、消毒液库房、水机房（内设血透用水水处理系统）、血透室、污物区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2F，建筑面积1500m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w:t>
                  </w:r>
                  <w:r>
                    <w:rPr>
                      <w:rFonts w:hint="eastAsia" w:cs="Times New Roman"/>
                      <w:b/>
                      <w:bCs/>
                      <w:color w:val="auto"/>
                      <w:szCs w:val="21"/>
                      <w:highlight w:val="none"/>
                      <w:lang w:val="en-US" w:eastAsia="zh-CN"/>
                    </w:rPr>
                    <w:t>行政办公区</w:t>
                  </w:r>
                  <w:r>
                    <w:rPr>
                      <w:rFonts w:hint="eastAsia" w:cs="Times New Roman"/>
                      <w:b w:val="0"/>
                      <w:bCs w:val="0"/>
                      <w:color w:val="auto"/>
                      <w:szCs w:val="21"/>
                      <w:highlight w:val="none"/>
                      <w:lang w:val="en-US" w:eastAsia="zh-CN"/>
                    </w:rPr>
                    <w:t>，</w:t>
                  </w:r>
                  <w:r>
                    <w:rPr>
                      <w:rFonts w:hint="eastAsia" w:cs="Times New Roman"/>
                      <w:color w:val="auto"/>
                      <w:szCs w:val="21"/>
                      <w:highlight w:val="none"/>
                      <w:lang w:val="en-US" w:eastAsia="zh-CN"/>
                    </w:rPr>
                    <w:t>设置会议室、办公室、保洁室、卫生间</w:t>
                  </w:r>
                  <w:r>
                    <w:rPr>
                      <w:rFonts w:hint="eastAsia"/>
                      <w:color w:val="auto"/>
                      <w:kern w:val="0"/>
                      <w:szCs w:val="21"/>
                      <w:highlight w:val="none"/>
                      <w:lang w:val="en-US" w:eastAsia="zh-CN"/>
                    </w:rPr>
                    <w:t>等</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b/>
                      <w:bCs/>
                      <w:color w:val="auto"/>
                      <w:szCs w:val="21"/>
                      <w:highlight w:val="none"/>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辅助工程</w:t>
                  </w: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柴油发电机房</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1</w:t>
                  </w:r>
                  <w:r>
                    <w:rPr>
                      <w:rFonts w:hint="eastAsia"/>
                      <w:color w:val="auto"/>
                      <w:szCs w:val="21"/>
                      <w:highlight w:val="none"/>
                    </w:rPr>
                    <w:t>个</w:t>
                  </w:r>
                  <w:r>
                    <w:rPr>
                      <w:color w:val="auto"/>
                      <w:szCs w:val="21"/>
                      <w:highlight w:val="none"/>
                    </w:rPr>
                    <w:t>，</w:t>
                  </w:r>
                  <w:r>
                    <w:rPr>
                      <w:rFonts w:hint="eastAsia"/>
                      <w:color w:val="auto"/>
                      <w:szCs w:val="21"/>
                      <w:highlight w:val="none"/>
                    </w:rPr>
                    <w:t>位于</w:t>
                  </w:r>
                  <w:r>
                    <w:rPr>
                      <w:rFonts w:hint="eastAsia"/>
                      <w:color w:val="auto"/>
                      <w:szCs w:val="21"/>
                      <w:highlight w:val="none"/>
                      <w:lang w:val="en-US" w:eastAsia="zh-CN"/>
                    </w:rPr>
                    <w:t>发热门诊</w:t>
                  </w:r>
                  <w:r>
                    <w:rPr>
                      <w:rFonts w:hint="eastAsia"/>
                      <w:color w:val="auto"/>
                      <w:szCs w:val="21"/>
                      <w:highlight w:val="none"/>
                    </w:rPr>
                    <w:t>-</w:t>
                  </w:r>
                  <w:r>
                    <w:rPr>
                      <w:color w:val="auto"/>
                      <w:szCs w:val="21"/>
                      <w:highlight w:val="none"/>
                    </w:rPr>
                    <w:t>1</w:t>
                  </w:r>
                  <w:r>
                    <w:rPr>
                      <w:rFonts w:hint="eastAsia"/>
                      <w:color w:val="auto"/>
                      <w:szCs w:val="21"/>
                      <w:highlight w:val="none"/>
                    </w:rPr>
                    <w:t>F，</w:t>
                  </w:r>
                  <w:r>
                    <w:rPr>
                      <w:color w:val="auto"/>
                      <w:szCs w:val="21"/>
                      <w:highlight w:val="none"/>
                    </w:rPr>
                    <w:t>内置1台</w:t>
                  </w:r>
                  <w:r>
                    <w:rPr>
                      <w:rFonts w:hint="eastAsia"/>
                      <w:color w:val="auto"/>
                      <w:szCs w:val="21"/>
                      <w:highlight w:val="none"/>
                      <w:lang w:val="en-US" w:eastAsia="zh-CN"/>
                    </w:rPr>
                    <w:t>15</w:t>
                  </w:r>
                  <w:r>
                    <w:rPr>
                      <w:color w:val="auto"/>
                      <w:szCs w:val="21"/>
                      <w:highlight w:val="none"/>
                    </w:rPr>
                    <w:t>0kW</w:t>
                  </w:r>
                  <w:r>
                    <w:rPr>
                      <w:rFonts w:hint="eastAsia"/>
                      <w:color w:val="auto"/>
                      <w:szCs w:val="21"/>
                      <w:highlight w:val="none"/>
                    </w:rPr>
                    <w:t>自启动柴油发电机组</w:t>
                  </w:r>
                  <w:r>
                    <w:rPr>
                      <w:color w:val="auto"/>
                      <w:szCs w:val="21"/>
                      <w:highlight w:val="none"/>
                    </w:rPr>
                    <w:t>，设置储油间1间（</w:t>
                  </w:r>
                  <w:r>
                    <w:rPr>
                      <w:rFonts w:hint="eastAsia"/>
                      <w:color w:val="auto"/>
                      <w:szCs w:val="21"/>
                      <w:highlight w:val="none"/>
                    </w:rPr>
                    <w:t>储油量为</w:t>
                  </w:r>
                  <w:r>
                    <w:rPr>
                      <w:rFonts w:hint="eastAsia"/>
                      <w:color w:val="auto"/>
                      <w:szCs w:val="21"/>
                      <w:highlight w:val="none"/>
                      <w:lang w:val="en-US" w:eastAsia="zh-CN"/>
                    </w:rPr>
                    <w:t>0.1t</w:t>
                  </w:r>
                  <w:r>
                    <w:rPr>
                      <w:color w:val="auto"/>
                      <w:szCs w:val="21"/>
                      <w:highlight w:val="none"/>
                    </w:rPr>
                    <w:t>）</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keepNext w:val="0"/>
                    <w:keepLines w:val="0"/>
                    <w:pageBreakBefore w:val="0"/>
                    <w:kinsoku/>
                    <w:wordWrap/>
                    <w:overflowPunct/>
                    <w:topLinePunct w:val="0"/>
                    <w:bidi w:val="0"/>
                    <w:spacing w:line="240" w:lineRule="auto"/>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废气</w:t>
                  </w:r>
                </w:p>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噪声</w:t>
                  </w:r>
                </w:p>
              </w:tc>
              <w:tc>
                <w:tcPr>
                  <w:tcW w:w="355" w:type="pct"/>
                  <w:vAlign w:val="center"/>
                </w:tcPr>
                <w:p>
                  <w:pPr>
                    <w:keepNext w:val="0"/>
                    <w:keepLines w:val="0"/>
                    <w:pageBreakBefore w:val="0"/>
                    <w:widowControl/>
                    <w:kinsoku/>
                    <w:wordWrap/>
                    <w:overflowPunct/>
                    <w:topLinePunct w:val="0"/>
                    <w:bidi w:val="0"/>
                    <w:spacing w:line="240" w:lineRule="auto"/>
                    <w:ind w:left="0" w:leftChars="0" w:right="0"/>
                    <w:jc w:val="center"/>
                    <w:rPr>
                      <w:rFonts w:hint="eastAsia" w:ascii="Times New Roman" w:hAnsi="Times New Roman" w:eastAsia="宋体" w:cs="Times New Roman"/>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氧气供应</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在住院部楼顶设置2套医用制氧系统制氧（制氧系统一备一用）</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噪声</w:t>
                  </w:r>
                </w:p>
              </w:tc>
              <w:tc>
                <w:tcPr>
                  <w:tcW w:w="355" w:type="pct"/>
                  <w:vAlign w:val="center"/>
                </w:tcPr>
                <w:p>
                  <w:pPr>
                    <w:keepNext w:val="0"/>
                    <w:keepLines w:val="0"/>
                    <w:pageBreakBefore w:val="0"/>
                    <w:widowControl/>
                    <w:kinsoku/>
                    <w:wordWrap/>
                    <w:overflowPunct/>
                    <w:topLinePunct w:val="0"/>
                    <w:bidi w:val="0"/>
                    <w:spacing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消防系统</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设置有室外、室内消防给水系统、配置有足够数量的灭火器</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355" w:type="pct"/>
                  <w:vAlign w:val="center"/>
                </w:tcPr>
                <w:p>
                  <w:pPr>
                    <w:keepNext w:val="0"/>
                    <w:keepLines w:val="0"/>
                    <w:pageBreakBefore w:val="0"/>
                    <w:widowControl/>
                    <w:kinsoku/>
                    <w:wordWrap/>
                    <w:overflowPunct/>
                    <w:topLinePunct w:val="0"/>
                    <w:bidi w:val="0"/>
                    <w:spacing w:line="240" w:lineRule="auto"/>
                    <w:ind w:left="0" w:leftChars="0" w:right="0"/>
                    <w:jc w:val="center"/>
                    <w:rPr>
                      <w:rFonts w:hint="default" w:ascii="Times New Roman" w:hAnsi="Times New Roman" w:cs="Times New Roman"/>
                      <w:color w:val="auto"/>
                      <w:szCs w:val="21"/>
                      <w:highlight w:val="none"/>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val="0"/>
                      <w:bCs w:val="0"/>
                      <w:color w:val="auto"/>
                      <w:szCs w:val="21"/>
                      <w:highlight w:val="none"/>
                      <w:lang w:val="en-US" w:eastAsia="zh-CN"/>
                    </w:rPr>
                    <w:t>空调系统</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val="0"/>
                      <w:bCs w:val="0"/>
                      <w:color w:val="auto"/>
                      <w:szCs w:val="21"/>
                      <w:highlight w:val="none"/>
                      <w:lang w:val="en-US" w:eastAsia="zh-CN"/>
                    </w:rPr>
                    <w:t>采用分体式空调</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355" w:type="pct"/>
                  <w:vAlign w:val="center"/>
                </w:tcPr>
                <w:p>
                  <w:pPr>
                    <w:keepNext w:val="0"/>
                    <w:keepLines w:val="0"/>
                    <w:pageBreakBefore w:val="0"/>
                    <w:widowControl/>
                    <w:kinsoku/>
                    <w:wordWrap/>
                    <w:overflowPunct/>
                    <w:topLinePunct w:val="0"/>
                    <w:bidi w:val="0"/>
                    <w:spacing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新风系统</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在2F实验区（包含检验试验区和微生物实验室等区域）设置一套全新风净化系统</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固废</w:t>
                  </w:r>
                </w:p>
              </w:tc>
              <w:tc>
                <w:tcPr>
                  <w:tcW w:w="355" w:type="pct"/>
                  <w:vAlign w:val="center"/>
                </w:tcPr>
                <w:p>
                  <w:pPr>
                    <w:keepNext w:val="0"/>
                    <w:keepLines w:val="0"/>
                    <w:pageBreakBefore w:val="0"/>
                    <w:widowControl/>
                    <w:kinsoku/>
                    <w:wordWrap/>
                    <w:overflowPunct/>
                    <w:topLinePunct w:val="0"/>
                    <w:bidi w:val="0"/>
                    <w:spacing w:line="240" w:lineRule="auto"/>
                    <w:ind w:left="0" w:leftChars="0" w:right="0" w:right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b/>
                      <w:bCs/>
                      <w:color w:val="auto"/>
                      <w:szCs w:val="21"/>
                      <w:highlight w:val="none"/>
                      <w:lang w:val="en-US" w:eastAsia="zh-CN"/>
                    </w:rPr>
                  </w:pPr>
                  <w:r>
                    <w:rPr>
                      <w:rFonts w:hint="eastAsia" w:cs="Times New Roman"/>
                      <w:b w:val="0"/>
                      <w:bCs w:val="0"/>
                      <w:color w:val="auto"/>
                      <w:szCs w:val="21"/>
                      <w:highlight w:val="none"/>
                      <w:lang w:val="en-US" w:eastAsia="zh-CN"/>
                    </w:rPr>
                    <w:t>血透用水水处理系统</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ascii="Times New Roman" w:hAnsi="Times New Roman" w:eastAsia="宋体" w:cs="Times New Roman"/>
                      <w:b/>
                      <w:bCs/>
                      <w:color w:val="auto"/>
                      <w:szCs w:val="21"/>
                      <w:highlight w:val="none"/>
                      <w:lang w:val="en-US" w:eastAsia="zh-CN"/>
                    </w:rPr>
                  </w:pPr>
                  <w:r>
                    <w:rPr>
                      <w:rFonts w:hint="eastAsia" w:cs="Times New Roman"/>
                      <w:b w:val="0"/>
                      <w:bCs w:val="0"/>
                      <w:color w:val="auto"/>
                      <w:szCs w:val="21"/>
                      <w:highlight w:val="none"/>
                      <w:lang w:val="en-US" w:eastAsia="zh-CN"/>
                    </w:rPr>
                    <w:t>在血透中心设置1套血透用水水处理系统，设计处理规模为3m</w:t>
                  </w:r>
                  <w:r>
                    <w:rPr>
                      <w:rFonts w:hint="eastAsia" w:cs="Times New Roman"/>
                      <w:b w:val="0"/>
                      <w:bCs w:val="0"/>
                      <w:color w:val="auto"/>
                      <w:szCs w:val="21"/>
                      <w:highlight w:val="none"/>
                      <w:vertAlign w:val="superscript"/>
                      <w:lang w:val="en-US" w:eastAsia="zh-CN"/>
                    </w:rPr>
                    <w:t>3</w:t>
                  </w:r>
                  <w:r>
                    <w:rPr>
                      <w:rFonts w:hint="eastAsia" w:cs="Times New Roman"/>
                      <w:b w:val="0"/>
                      <w:bCs w:val="0"/>
                      <w:color w:val="auto"/>
                      <w:szCs w:val="21"/>
                      <w:highlight w:val="none"/>
                      <w:lang w:val="en-US" w:eastAsia="zh-CN"/>
                    </w:rPr>
                    <w:t>/h，采用“多介质+活性炭+软化器+精密过滤器+反渗透”工艺</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olor w:val="auto"/>
                      <w:highlight w:val="none"/>
                      <w:lang w:val="en-US" w:eastAsia="zh-CN"/>
                    </w:rPr>
                  </w:pPr>
                  <w:r>
                    <w:rPr>
                      <w:rFonts w:hint="eastAsia"/>
                      <w:color w:val="auto"/>
                      <w:highlight w:val="none"/>
                      <w:lang w:val="en-US" w:eastAsia="zh-CN"/>
                    </w:rPr>
                    <w:t>浓水</w:t>
                  </w:r>
                </w:p>
                <w:p>
                  <w:pPr>
                    <w:jc w:val="center"/>
                    <w:rPr>
                      <w:rFonts w:hint="default"/>
                      <w:color w:val="auto"/>
                      <w:highlight w:val="none"/>
                      <w:lang w:val="en-US" w:eastAsia="zh-CN"/>
                    </w:rPr>
                  </w:pPr>
                  <w:r>
                    <w:rPr>
                      <w:rFonts w:hint="eastAsia"/>
                      <w:color w:val="auto"/>
                      <w:highlight w:val="none"/>
                      <w:lang w:val="en-US" w:eastAsia="zh-CN"/>
                    </w:rPr>
                    <w:t>废过滤材料</w:t>
                  </w:r>
                </w:p>
              </w:tc>
              <w:tc>
                <w:tcPr>
                  <w:tcW w:w="355" w:type="pct"/>
                  <w:vAlign w:val="center"/>
                </w:tcPr>
                <w:p>
                  <w:pPr>
                    <w:keepNext w:val="0"/>
                    <w:keepLines w:val="0"/>
                    <w:pageBreakBefore w:val="0"/>
                    <w:widowControl/>
                    <w:kinsoku/>
                    <w:wordWrap/>
                    <w:overflowPunct/>
                    <w:topLinePunct w:val="0"/>
                    <w:bidi w:val="0"/>
                    <w:spacing w:line="240" w:lineRule="auto"/>
                    <w:ind w:left="0" w:leftChars="0" w:right="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办公生活设施</w:t>
                  </w: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办公室</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业务楼2F，用于员工办公</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生活污水</w:t>
                  </w:r>
                </w:p>
              </w:tc>
              <w:tc>
                <w:tcPr>
                  <w:tcW w:w="355" w:type="pct"/>
                  <w:vAlign w:val="center"/>
                </w:tcPr>
                <w:p>
                  <w:pPr>
                    <w:keepNext w:val="0"/>
                    <w:keepLines w:val="0"/>
                    <w:pageBreakBefore w:val="0"/>
                    <w:widowControl/>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食堂</w:t>
                  </w:r>
                </w:p>
              </w:tc>
              <w:tc>
                <w:tcPr>
                  <w:tcW w:w="2414" w:type="pct"/>
                  <w:vAlign w:val="center"/>
                </w:tcPr>
                <w:p>
                  <w:pPr>
                    <w:keepNext w:val="0"/>
                    <w:keepLines w:val="0"/>
                    <w:pageBreakBefore w:val="0"/>
                    <w:kinsoku/>
                    <w:wordWrap/>
                    <w:overflowPunct/>
                    <w:topLinePunct w:val="0"/>
                    <w:bidi w:val="0"/>
                    <w:spacing w:line="240" w:lineRule="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设置于住院部-1F</w:t>
                  </w:r>
                </w:p>
              </w:tc>
              <w:tc>
                <w:tcPr>
                  <w:tcW w:w="584"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687" w:type="pct"/>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食堂油烟</w:t>
                  </w:r>
                </w:p>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餐厨垃圾</w:t>
                  </w:r>
                </w:p>
                <w:p>
                  <w:pPr>
                    <w:keepNext w:val="0"/>
                    <w:keepLines w:val="0"/>
                    <w:pageBreakBefore w:val="0"/>
                    <w:kinsoku/>
                    <w:wordWrap/>
                    <w:overflowPunct/>
                    <w:topLinePunct w:val="0"/>
                    <w:bidi w:val="0"/>
                    <w:spacing w:line="240" w:lineRule="auto"/>
                    <w:jc w:val="center"/>
                    <w:rPr>
                      <w:rFonts w:hint="default" w:ascii="Times New Roman" w:hAnsi="Times New Roman" w:cs="Times New Roman"/>
                      <w:color w:val="auto"/>
                      <w:szCs w:val="21"/>
                      <w:highlight w:val="none"/>
                    </w:rPr>
                  </w:pPr>
                  <w:r>
                    <w:rPr>
                      <w:color w:val="auto"/>
                      <w:szCs w:val="21"/>
                      <w:highlight w:val="none"/>
                    </w:rPr>
                    <w:t>食堂废水</w:t>
                  </w:r>
                </w:p>
              </w:tc>
              <w:tc>
                <w:tcPr>
                  <w:tcW w:w="355" w:type="pct"/>
                  <w:vAlign w:val="center"/>
                </w:tcPr>
                <w:p>
                  <w:pPr>
                    <w:keepNext w:val="0"/>
                    <w:keepLines w:val="0"/>
                    <w:pageBreakBefore w:val="0"/>
                    <w:widowControl/>
                    <w:kinsoku/>
                    <w:wordWrap/>
                    <w:overflowPunct/>
                    <w:topLinePunct w:val="0"/>
                    <w:bidi w:val="0"/>
                    <w:spacing w:line="240" w:lineRule="auto"/>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公用工程</w:t>
                  </w: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cs="Times New Roman"/>
                      <w:b w:val="0"/>
                      <w:bCs w:val="0"/>
                      <w:color w:val="auto"/>
                      <w:szCs w:val="21"/>
                      <w:highlight w:val="none"/>
                      <w:lang w:val="en-US" w:eastAsia="zh-CN"/>
                    </w:rPr>
                    <w:t>排水</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雨污分流制</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355" w:type="pct"/>
                  <w:vAlign w:val="center"/>
                </w:tcPr>
                <w:p>
                  <w:pPr>
                    <w:keepNext w:val="0"/>
                    <w:keepLines w:val="0"/>
                    <w:pageBreakBefore w:val="0"/>
                    <w:widowControl/>
                    <w:kinsoku/>
                    <w:wordWrap/>
                    <w:overflowPunct/>
                    <w:topLinePunct w:val="0"/>
                    <w:bidi w:val="0"/>
                    <w:spacing w:line="240" w:lineRule="auto"/>
                    <w:ind w:left="0" w:leftChars="0" w:right="0" w:righ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b w:val="0"/>
                      <w:bCs w:val="0"/>
                      <w:color w:val="auto"/>
                      <w:szCs w:val="21"/>
                      <w:highlight w:val="none"/>
                      <w:lang w:val="en-US" w:eastAsia="zh-CN"/>
                    </w:rPr>
                  </w:pPr>
                  <w:r>
                    <w:rPr>
                      <w:rFonts w:hint="default" w:cs="Times New Roman"/>
                      <w:b w:val="0"/>
                      <w:bCs w:val="0"/>
                      <w:color w:val="auto"/>
                      <w:szCs w:val="21"/>
                      <w:highlight w:val="none"/>
                      <w:lang w:val="en-US" w:eastAsia="zh-CN"/>
                    </w:rPr>
                    <w:t>给水</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市政</w:t>
                  </w:r>
                  <w:r>
                    <w:rPr>
                      <w:rFonts w:hint="default" w:ascii="Times New Roman" w:hAnsi="Times New Roman" w:cs="Times New Roman"/>
                      <w:color w:val="auto"/>
                      <w:szCs w:val="21"/>
                      <w:highlight w:val="none"/>
                    </w:rPr>
                    <w:t>给水管网供给</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55" w:type="pct"/>
                  <w:vAlign w:val="center"/>
                </w:tcPr>
                <w:p>
                  <w:pPr>
                    <w:keepNext w:val="0"/>
                    <w:keepLines w:val="0"/>
                    <w:pageBreakBefore w:val="0"/>
                    <w:widowControl/>
                    <w:kinsoku/>
                    <w:wordWrap/>
                    <w:overflowPunct/>
                    <w:topLinePunct w:val="0"/>
                    <w:bidi w:val="0"/>
                    <w:spacing w:line="240" w:lineRule="auto"/>
                    <w:ind w:left="0" w:leftChars="0" w:right="0"/>
                    <w:jc w:val="center"/>
                    <w:rPr>
                      <w:rFonts w:hint="eastAsia" w:ascii="Times New Roman" w:hAnsi="Times New Roman" w:eastAsia="宋体" w:cs="Times New Roman"/>
                      <w:b/>
                      <w:bCs/>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供热</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color w:val="auto"/>
                      <w:szCs w:val="21"/>
                      <w:highlight w:val="none"/>
                      <w:lang w:val="en-US" w:eastAsia="zh-CN"/>
                    </w:rPr>
                  </w:pPr>
                  <w:r>
                    <w:rPr>
                      <w:rFonts w:hint="eastAsia" w:cs="Times New Roman"/>
                      <w:color w:val="auto"/>
                      <w:szCs w:val="21"/>
                      <w:highlight w:val="none"/>
                      <w:lang w:val="en-US" w:eastAsia="zh-CN"/>
                    </w:rPr>
                    <w:t>采用电热水器供热，不设锅炉供热</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供电</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市政</w:t>
                  </w:r>
                  <w:r>
                    <w:rPr>
                      <w:rFonts w:hint="default" w:ascii="Times New Roman" w:hAnsi="Times New Roman" w:cs="Times New Roman"/>
                      <w:color w:val="auto"/>
                      <w:szCs w:val="21"/>
                      <w:highlight w:val="none"/>
                    </w:rPr>
                    <w:t>供电</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供气</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市政天然气管网</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环保工程</w:t>
                  </w:r>
                </w:p>
              </w:tc>
              <w:tc>
                <w:tcPr>
                  <w:tcW w:w="591"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废气治理</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ascii="Times New Roman" w:hAnsi="Times New Roman" w:eastAsia="宋体" w:cs="Times New Roman"/>
                      <w:color w:val="auto"/>
                      <w:szCs w:val="21"/>
                      <w:highlight w:val="none"/>
                      <w:lang w:val="en-US" w:eastAsia="zh-CN"/>
                    </w:rPr>
                  </w:pPr>
                  <w:r>
                    <w:rPr>
                      <w:rFonts w:hint="eastAsia" w:cs="Times New Roman"/>
                      <w:b/>
                      <w:bCs/>
                      <w:color w:val="auto"/>
                      <w:szCs w:val="21"/>
                      <w:highlight w:val="none"/>
                      <w:lang w:val="en-US" w:eastAsia="zh-CN"/>
                    </w:rPr>
                    <w:t>病区含菌空气：</w:t>
                  </w:r>
                  <w:r>
                    <w:rPr>
                      <w:rFonts w:hint="eastAsia"/>
                      <w:color w:val="auto"/>
                      <w:szCs w:val="21"/>
                      <w:highlight w:val="none"/>
                    </w:rPr>
                    <w:t>对病房区、走廊、各科诊室和</w:t>
                  </w:r>
                  <w:r>
                    <w:rPr>
                      <w:rFonts w:hint="eastAsia"/>
                      <w:color w:val="auto"/>
                      <w:szCs w:val="21"/>
                      <w:highlight w:val="none"/>
                      <w:lang w:eastAsia="zh-CN"/>
                    </w:rPr>
                    <w:t>检验科</w:t>
                  </w:r>
                  <w:r>
                    <w:rPr>
                      <w:rFonts w:hint="eastAsia"/>
                      <w:color w:val="auto"/>
                      <w:szCs w:val="21"/>
                      <w:highlight w:val="none"/>
                      <w:lang w:val="en-US" w:eastAsia="zh-CN"/>
                    </w:rPr>
                    <w:t>等区域</w:t>
                  </w:r>
                  <w:r>
                    <w:rPr>
                      <w:rFonts w:hint="eastAsia"/>
                      <w:color w:val="auto"/>
                      <w:szCs w:val="21"/>
                      <w:highlight w:val="none"/>
                    </w:rPr>
                    <w:t>定期消毒处理，</w:t>
                  </w:r>
                  <w:r>
                    <w:rPr>
                      <w:rFonts w:hint="default" w:ascii="Times New Roman" w:hAnsi="Times New Roman" w:cs="Times New Roman"/>
                      <w:color w:val="auto"/>
                      <w:szCs w:val="21"/>
                      <w:highlight w:val="none"/>
                    </w:rPr>
                    <w:t>同时对住院病房区、手术室、</w:t>
                  </w:r>
                  <w:r>
                    <w:rPr>
                      <w:rFonts w:hint="default" w:ascii="Times New Roman" w:hAnsi="Times New Roman" w:cs="Times New Roman"/>
                      <w:color w:val="auto"/>
                      <w:szCs w:val="21"/>
                      <w:highlight w:val="none"/>
                      <w:lang w:val="en-US" w:eastAsia="zh-CN"/>
                    </w:rPr>
                    <w:t>实验区</w:t>
                  </w:r>
                  <w:r>
                    <w:rPr>
                      <w:rFonts w:hint="default" w:ascii="Times New Roman" w:hAnsi="Times New Roman" w:cs="Times New Roman"/>
                      <w:color w:val="auto"/>
                      <w:szCs w:val="21"/>
                      <w:highlight w:val="none"/>
                    </w:rPr>
                    <w:t>等设置独立的通风系统</w:t>
                  </w:r>
                  <w:r>
                    <w:rPr>
                      <w:rFonts w:hint="eastAsia"/>
                      <w:color w:val="auto"/>
                      <w:szCs w:val="21"/>
                      <w:highlight w:val="none"/>
                      <w:lang w:val="en-US" w:eastAsia="zh-CN"/>
                    </w:rPr>
                    <w:t>，并加装紫外线灯或等离子空气净化消毒机进行消毒灭菌</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olor w:val="auto"/>
                      <w:highlight w:val="none"/>
                    </w:rPr>
                  </w:pPr>
                  <w:r>
                    <w:rPr>
                      <w:rFonts w:hint="eastAsia"/>
                      <w:color w:val="auto"/>
                      <w:highlight w:val="none"/>
                    </w:rPr>
                    <w:t>含菌空气</w:t>
                  </w:r>
                </w:p>
                <w:p>
                  <w:pPr>
                    <w:jc w:val="center"/>
                    <w:rPr>
                      <w:rFonts w:hint="default" w:eastAsia="宋体"/>
                      <w:color w:val="auto"/>
                      <w:highlight w:val="none"/>
                      <w:lang w:val="en-US" w:eastAsia="zh-CN"/>
                    </w:rPr>
                  </w:pPr>
                  <w:r>
                    <w:rPr>
                      <w:rFonts w:hint="eastAsia"/>
                      <w:color w:val="auto"/>
                      <w:szCs w:val="21"/>
                      <w:highlight w:val="none"/>
                      <w:lang w:val="en-US" w:eastAsia="zh-CN"/>
                    </w:rPr>
                    <w:t>废紫外灯</w:t>
                  </w: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b w:val="0"/>
                      <w:bCs w:val="0"/>
                      <w:color w:val="auto"/>
                      <w:szCs w:val="21"/>
                      <w:highlight w:val="none"/>
                      <w:lang w:val="en-US" w:eastAsia="zh-CN"/>
                    </w:rPr>
                  </w:pPr>
                  <w:r>
                    <w:rPr>
                      <w:rFonts w:hint="eastAsia" w:cs="Times New Roman"/>
                      <w:b/>
                      <w:bCs/>
                      <w:color w:val="auto"/>
                      <w:szCs w:val="21"/>
                      <w:highlight w:val="none"/>
                      <w:lang w:val="en-US" w:eastAsia="zh-CN"/>
                    </w:rPr>
                    <w:t>含病原微生物气溶胶废气：</w:t>
                  </w:r>
                  <w:r>
                    <w:rPr>
                      <w:rFonts w:hint="eastAsia"/>
                      <w:color w:val="auto"/>
                      <w:szCs w:val="21"/>
                      <w:highlight w:val="none"/>
                      <w:lang w:val="en-US" w:eastAsia="zh-CN"/>
                    </w:rPr>
                    <w:t>微生物实验室废气经“A2型生物安全柜+新风系统高效过滤器+紫外灯”消毒灭菌处理后由引风机从楼侧排处室外，同时在微生物实验室、无菌室、药剂准备室、标本制备室、扩增分析室各配置1台可移动紫外线灯</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color w:val="auto"/>
                      <w:szCs w:val="21"/>
                      <w:highlight w:val="none"/>
                    </w:rPr>
                  </w:pPr>
                  <w:r>
                    <w:rPr>
                      <w:rFonts w:hint="eastAsia"/>
                      <w:color w:val="auto"/>
                      <w:szCs w:val="21"/>
                      <w:highlight w:val="none"/>
                    </w:rPr>
                    <w:t>含菌空气</w:t>
                  </w:r>
                </w:p>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废紫外灯</w:t>
                  </w:r>
                </w:p>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废过滤材料</w:t>
                  </w: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恶臭：</w:t>
                  </w:r>
                  <w:r>
                    <w:rPr>
                      <w:rFonts w:hint="eastAsia" w:cs="Times New Roman"/>
                      <w:b w:val="0"/>
                      <w:bCs w:val="0"/>
                      <w:color w:val="auto"/>
                      <w:kern w:val="2"/>
                      <w:sz w:val="21"/>
                      <w:szCs w:val="21"/>
                      <w:highlight w:val="none"/>
                      <w:lang w:val="en-US" w:eastAsia="zh-CN" w:bidi="ar-SA"/>
                    </w:rPr>
                    <w:t>医疗废物暂存间恶臭采用</w:t>
                  </w:r>
                  <w:r>
                    <w:rPr>
                      <w:rFonts w:hint="eastAsia" w:cs="Times New Roman"/>
                      <w:color w:val="auto"/>
                      <w:kern w:val="2"/>
                      <w:sz w:val="21"/>
                      <w:szCs w:val="21"/>
                      <w:highlight w:val="none"/>
                      <w:lang w:val="en-US" w:eastAsia="zh-CN" w:bidi="ar-SA"/>
                    </w:rPr>
                    <w:t>医疗废物密封储存，加强管理，定期消毒，日产日清措施；餐厨垃圾暂存点恶臭采取日产日清措施</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恶臭</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b/>
                      <w:bCs w:val="0"/>
                      <w:color w:val="auto"/>
                      <w:szCs w:val="21"/>
                      <w:highlight w:val="none"/>
                    </w:rPr>
                    <w:t>柴油发电机废气</w:t>
                  </w:r>
                  <w:r>
                    <w:rPr>
                      <w:rFonts w:hint="eastAsia"/>
                      <w:b/>
                      <w:bCs w:val="0"/>
                      <w:color w:val="auto"/>
                      <w:szCs w:val="21"/>
                      <w:highlight w:val="none"/>
                      <w:lang w:eastAsia="zh-CN"/>
                    </w:rPr>
                    <w:t>：</w:t>
                  </w:r>
                  <w:r>
                    <w:rPr>
                      <w:rFonts w:hint="eastAsia"/>
                      <w:color w:val="auto"/>
                      <w:szCs w:val="21"/>
                      <w:highlight w:val="none"/>
                    </w:rPr>
                    <w:t>经设备自带的消烟除尘装置处理后</w:t>
                  </w:r>
                  <w:r>
                    <w:rPr>
                      <w:rFonts w:hint="eastAsia"/>
                      <w:color w:val="auto"/>
                      <w:szCs w:val="21"/>
                      <w:highlight w:val="none"/>
                      <w:lang w:val="en-US" w:eastAsia="zh-CN"/>
                    </w:rPr>
                    <w:t>排放</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687" w:type="pct"/>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废气</w:t>
                  </w:r>
                </w:p>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噪声</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eastAsia" w:ascii="Times New Roman" w:hAnsi="Times New Roman" w:eastAsia="宋体" w:cs="Times New Roman"/>
                      <w:b/>
                      <w:bCs w:val="0"/>
                      <w:color w:val="auto"/>
                      <w:kern w:val="2"/>
                      <w:sz w:val="21"/>
                      <w:szCs w:val="21"/>
                      <w:highlight w:val="none"/>
                      <w:lang w:val="en-US" w:eastAsia="zh-CN" w:bidi="ar-SA"/>
                    </w:rPr>
                  </w:pPr>
                  <w:r>
                    <w:rPr>
                      <w:rFonts w:hint="eastAsia"/>
                      <w:b/>
                      <w:color w:val="auto"/>
                      <w:szCs w:val="21"/>
                      <w:highlight w:val="none"/>
                    </w:rPr>
                    <w:t>食堂油烟：</w:t>
                  </w:r>
                  <w:r>
                    <w:rPr>
                      <w:rFonts w:hint="eastAsia"/>
                      <w:color w:val="auto"/>
                      <w:szCs w:val="21"/>
                      <w:highlight w:val="none"/>
                    </w:rPr>
                    <w:t>采用高效油烟净化器（处理效率8</w:t>
                  </w:r>
                  <w:r>
                    <w:rPr>
                      <w:color w:val="auto"/>
                      <w:szCs w:val="21"/>
                      <w:highlight w:val="none"/>
                    </w:rPr>
                    <w:t>5</w:t>
                  </w:r>
                  <w:r>
                    <w:rPr>
                      <w:rFonts w:hint="eastAsia"/>
                      <w:color w:val="auto"/>
                      <w:szCs w:val="21"/>
                      <w:highlight w:val="none"/>
                    </w:rPr>
                    <w:t>%</w:t>
                  </w:r>
                  <w:r>
                    <w:rPr>
                      <w:color w:val="auto"/>
                      <w:szCs w:val="21"/>
                      <w:highlight w:val="none"/>
                    </w:rPr>
                    <w:t>以上</w:t>
                  </w:r>
                  <w:r>
                    <w:rPr>
                      <w:rFonts w:hint="eastAsia"/>
                      <w:color w:val="auto"/>
                      <w:szCs w:val="21"/>
                      <w:highlight w:val="none"/>
                    </w:rPr>
                    <w:t>），食堂油烟经处理后由专用的油烟井引至</w:t>
                  </w:r>
                  <w:r>
                    <w:rPr>
                      <w:rFonts w:hint="eastAsia"/>
                      <w:color w:val="auto"/>
                      <w:szCs w:val="21"/>
                      <w:highlight w:val="none"/>
                      <w:lang w:eastAsia="zh-CN"/>
                    </w:rPr>
                    <w:t>食堂</w:t>
                  </w:r>
                  <w:r>
                    <w:rPr>
                      <w:rFonts w:hint="eastAsia"/>
                      <w:color w:val="auto"/>
                      <w:szCs w:val="21"/>
                      <w:highlight w:val="none"/>
                    </w:rPr>
                    <w:t>楼顶排放</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687"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油烟</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bCs/>
                      <w:color w:val="auto"/>
                      <w:szCs w:val="21"/>
                      <w:highlight w:val="none"/>
                      <w:lang w:val="en-US" w:eastAsia="zh-CN"/>
                    </w:rPr>
                    <w:t>一体化污水处理设施恶臭：</w:t>
                  </w:r>
                  <w:r>
                    <w:rPr>
                      <w:rFonts w:hint="eastAsia" w:cs="Times New Roman"/>
                      <w:b w:val="0"/>
                      <w:bCs w:val="0"/>
                      <w:color w:val="auto"/>
                      <w:szCs w:val="21"/>
                      <w:highlight w:val="none"/>
                      <w:lang w:val="en-US" w:eastAsia="zh-CN"/>
                    </w:rPr>
                    <w:t>在设施周边投加除臭剂、定期消毒等措施</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eastAsia"/>
                      <w:b/>
                      <w:color w:val="auto"/>
                      <w:szCs w:val="21"/>
                      <w:highlight w:val="none"/>
                    </w:rPr>
                  </w:pPr>
                  <w:r>
                    <w:rPr>
                      <w:rFonts w:hint="eastAsia"/>
                      <w:b/>
                      <w:color w:val="auto"/>
                      <w:szCs w:val="21"/>
                      <w:highlight w:val="none"/>
                      <w:lang w:eastAsia="zh-CN"/>
                    </w:rPr>
                    <w:t>汽车尾气：</w:t>
                  </w:r>
                  <w:r>
                    <w:rPr>
                      <w:rFonts w:hint="eastAsia"/>
                      <w:color w:val="auto"/>
                      <w:szCs w:val="21"/>
                      <w:highlight w:val="none"/>
                      <w:lang w:val="en-US" w:eastAsia="zh-CN"/>
                    </w:rPr>
                    <w:t>产生量较小，自然扩散</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687" w:type="pct"/>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废气</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废水治理</w:t>
                  </w: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ascii="Times New Roman" w:hAnsi="Times New Roman" w:eastAsia="宋体" w:cs="Times New Roman"/>
                      <w:b w:val="0"/>
                      <w:bCs w:val="0"/>
                      <w:color w:val="auto"/>
                      <w:szCs w:val="21"/>
                      <w:highlight w:val="none"/>
                      <w:lang w:val="en-US" w:eastAsia="zh-CN"/>
                    </w:rPr>
                  </w:pPr>
                  <w:r>
                    <w:rPr>
                      <w:rFonts w:hint="eastAsia" w:cs="Times New Roman"/>
                      <w:b/>
                      <w:bCs/>
                      <w:color w:val="auto"/>
                      <w:szCs w:val="21"/>
                      <w:highlight w:val="none"/>
                      <w:lang w:val="en-US" w:eastAsia="zh-CN"/>
                    </w:rPr>
                    <w:t>化粪池：</w:t>
                  </w:r>
                  <w:r>
                    <w:rPr>
                      <w:rFonts w:hint="eastAsia" w:cs="Times New Roman"/>
                      <w:b w:val="0"/>
                      <w:bCs w:val="0"/>
                      <w:color w:val="auto"/>
                      <w:szCs w:val="21"/>
                      <w:highlight w:val="none"/>
                      <w:lang w:val="en-US" w:eastAsia="zh-CN"/>
                    </w:rPr>
                    <w:t>1个，设置于住院部南侧，容积为40m</w:t>
                  </w:r>
                  <w:r>
                    <w:rPr>
                      <w:rFonts w:hint="eastAsia" w:cs="Times New Roman"/>
                      <w:b w:val="0"/>
                      <w:bCs w:val="0"/>
                      <w:color w:val="auto"/>
                      <w:szCs w:val="21"/>
                      <w:highlight w:val="none"/>
                      <w:vertAlign w:val="superscript"/>
                      <w:lang w:val="en-US" w:eastAsia="zh-CN"/>
                    </w:rPr>
                    <w:t>3</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87"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污泥</w:t>
                  </w: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szCs w:val="21"/>
                      <w:highlight w:val="none"/>
                      <w:lang w:val="en-US" w:eastAsia="zh-CN"/>
                    </w:rPr>
                  </w:pPr>
                  <w:r>
                    <w:rPr>
                      <w:rFonts w:hint="eastAsia" w:cs="Times New Roman"/>
                      <w:b w:val="0"/>
                      <w:bCs w:val="0"/>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b w:val="0"/>
                      <w:bCs w:val="0"/>
                      <w:color w:val="auto"/>
                      <w:szCs w:val="21"/>
                      <w:highlight w:val="none"/>
                      <w:lang w:val="en-US" w:eastAsia="zh-CN"/>
                    </w:rPr>
                  </w:pPr>
                  <w:r>
                    <w:rPr>
                      <w:rFonts w:hint="eastAsia" w:cs="Times New Roman"/>
                      <w:b/>
                      <w:bCs/>
                      <w:color w:val="auto"/>
                      <w:szCs w:val="21"/>
                      <w:highlight w:val="none"/>
                      <w:lang w:val="en-US" w:eastAsia="zh-CN"/>
                    </w:rPr>
                    <w:t>油水分离器：</w:t>
                  </w:r>
                  <w:r>
                    <w:rPr>
                      <w:rFonts w:hint="eastAsia" w:cs="Times New Roman"/>
                      <w:b w:val="0"/>
                      <w:bCs w:val="0"/>
                      <w:color w:val="auto"/>
                      <w:szCs w:val="21"/>
                      <w:highlight w:val="none"/>
                      <w:lang w:val="en-US" w:eastAsia="zh-CN"/>
                    </w:rPr>
                    <w:t>1个，设置于厨房水池下，容积为2m</w:t>
                  </w:r>
                  <w:r>
                    <w:rPr>
                      <w:rFonts w:hint="eastAsia" w:cs="Times New Roman"/>
                      <w:b w:val="0"/>
                      <w:bCs w:val="0"/>
                      <w:color w:val="auto"/>
                      <w:szCs w:val="21"/>
                      <w:highlight w:val="none"/>
                      <w:vertAlign w:val="superscript"/>
                      <w:lang w:val="en-US" w:eastAsia="zh-CN"/>
                    </w:rPr>
                    <w:t>3</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cs="Times New Roman"/>
                      <w:color w:val="auto"/>
                      <w:szCs w:val="21"/>
                      <w:highlight w:val="none"/>
                      <w:lang w:val="en-US" w:eastAsia="zh-CN"/>
                    </w:rPr>
                  </w:pPr>
                  <w:r>
                    <w:rPr>
                      <w:rFonts w:hint="eastAsia"/>
                      <w:color w:val="auto"/>
                      <w:szCs w:val="21"/>
                      <w:highlight w:val="none"/>
                      <w:lang w:val="en-US" w:eastAsia="zh-CN"/>
                    </w:rPr>
                    <w:t>/</w:t>
                  </w:r>
                </w:p>
              </w:tc>
              <w:tc>
                <w:tcPr>
                  <w:tcW w:w="687" w:type="pct"/>
                  <w:vAlign w:val="center"/>
                </w:tcPr>
                <w:p>
                  <w:pPr>
                    <w:keepNext w:val="0"/>
                    <w:keepLines w:val="0"/>
                    <w:pageBreakBefore w:val="0"/>
                    <w:kinsoku/>
                    <w:wordWrap/>
                    <w:overflowPunct/>
                    <w:topLinePunct w:val="0"/>
                    <w:bidi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废油脂</w:t>
                  </w: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eastAsia" w:ascii="Times New Roman" w:hAnsi="Times New Roman" w:eastAsia="宋体" w:cs="Times New Roman"/>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both"/>
                    <w:rPr>
                      <w:rFonts w:hint="default" w:cs="Times New Roman"/>
                      <w:b w:val="0"/>
                      <w:bCs w:val="0"/>
                      <w:color w:val="auto"/>
                      <w:szCs w:val="21"/>
                      <w:highlight w:val="none"/>
                      <w:lang w:val="en-US" w:eastAsia="zh-CN"/>
                    </w:rPr>
                  </w:pPr>
                  <w:r>
                    <w:rPr>
                      <w:rFonts w:hint="eastAsia" w:cs="Times New Roman"/>
                      <w:b/>
                      <w:bCs/>
                      <w:color w:val="auto"/>
                      <w:szCs w:val="21"/>
                      <w:highlight w:val="none"/>
                      <w:lang w:val="en-US" w:eastAsia="zh-CN"/>
                    </w:rPr>
                    <w:t>调节池：</w:t>
                  </w:r>
                  <w:r>
                    <w:rPr>
                      <w:rFonts w:hint="eastAsia" w:cs="Times New Roman"/>
                      <w:b w:val="0"/>
                      <w:bCs w:val="0"/>
                      <w:color w:val="auto"/>
                      <w:szCs w:val="21"/>
                      <w:highlight w:val="none"/>
                      <w:lang w:val="en-US" w:eastAsia="zh-CN"/>
                    </w:rPr>
                    <w:t>1个，设置于住院部-1F一体化污水处理设施旁，容积为60m</w:t>
                  </w:r>
                  <w:r>
                    <w:rPr>
                      <w:rFonts w:hint="eastAsia" w:cs="Times New Roman"/>
                      <w:b w:val="0"/>
                      <w:bCs w:val="0"/>
                      <w:color w:val="auto"/>
                      <w:szCs w:val="21"/>
                      <w:highlight w:val="none"/>
                      <w:vertAlign w:val="superscript"/>
                      <w:lang w:val="en-US" w:eastAsia="zh-CN"/>
                    </w:rPr>
                    <w:t>3</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eastAsia" w:eastAsia="宋体" w:cs="Times New Roman"/>
                      <w:color w:val="auto"/>
                      <w:szCs w:val="21"/>
                      <w:highlight w:val="none"/>
                      <w:lang w:val="en-US" w:eastAsia="zh-CN"/>
                    </w:rPr>
                  </w:pPr>
                  <w:r>
                    <w:rPr>
                      <w:rFonts w:hint="eastAsia"/>
                      <w:color w:val="auto"/>
                      <w:szCs w:val="21"/>
                      <w:highlight w:val="none"/>
                      <w:lang w:val="en-US" w:eastAsia="zh-CN"/>
                    </w:rPr>
                    <w:t>/</w:t>
                  </w:r>
                </w:p>
              </w:tc>
              <w:tc>
                <w:tcPr>
                  <w:tcW w:w="687" w:type="pct"/>
                  <w:vAlign w:val="center"/>
                </w:tcPr>
                <w:p>
                  <w:pPr>
                    <w:keepNext w:val="0"/>
                    <w:keepLines w:val="0"/>
                    <w:pageBreakBefore w:val="0"/>
                    <w:kinsoku/>
                    <w:wordWrap/>
                    <w:overflowPunct/>
                    <w:topLinePunct w:val="0"/>
                    <w:bidi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241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both"/>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bCs/>
                      <w:color w:val="auto"/>
                      <w:szCs w:val="21"/>
                      <w:highlight w:val="none"/>
                      <w:lang w:val="en-US" w:eastAsia="zh-CN"/>
                    </w:rPr>
                    <w:t>一体化污水处理设施：</w:t>
                  </w:r>
                  <w:r>
                    <w:rPr>
                      <w:rFonts w:hint="eastAsia" w:cs="Times New Roman"/>
                      <w:b w:val="0"/>
                      <w:bCs w:val="0"/>
                      <w:color w:val="auto"/>
                      <w:szCs w:val="21"/>
                      <w:highlight w:val="none"/>
                      <w:lang w:val="en-US" w:eastAsia="zh-CN"/>
                    </w:rPr>
                    <w:t>位于住院部-1F，处理能力为80m</w:t>
                  </w:r>
                  <w:r>
                    <w:rPr>
                      <w:rFonts w:hint="eastAsia" w:cs="Times New Roman"/>
                      <w:b w:val="0"/>
                      <w:bCs w:val="0"/>
                      <w:color w:val="auto"/>
                      <w:szCs w:val="21"/>
                      <w:highlight w:val="none"/>
                      <w:vertAlign w:val="superscript"/>
                      <w:lang w:val="en-US" w:eastAsia="zh-CN"/>
                    </w:rPr>
                    <w:t>3</w:t>
                  </w:r>
                  <w:r>
                    <w:rPr>
                      <w:rFonts w:hint="eastAsia" w:cs="Times New Roman"/>
                      <w:b w:val="0"/>
                      <w:bCs w:val="0"/>
                      <w:color w:val="auto"/>
                      <w:szCs w:val="21"/>
                      <w:highlight w:val="none"/>
                      <w:lang w:val="en-US" w:eastAsia="zh-CN"/>
                    </w:rPr>
                    <w:t>/d，采用“AO+沉淀+消毒”工艺</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8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r>
                    <w:rPr>
                      <w:rFonts w:hint="eastAsia"/>
                      <w:color w:val="auto"/>
                      <w:szCs w:val="21"/>
                      <w:highlight w:val="none"/>
                    </w:rPr>
                    <w:t>恶臭</w:t>
                  </w:r>
                </w:p>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污泥</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噪声治理</w:t>
                  </w:r>
                </w:p>
              </w:tc>
              <w:tc>
                <w:tcPr>
                  <w:tcW w:w="2414" w:type="pct"/>
                  <w:vAlign w:val="center"/>
                </w:tcPr>
                <w:p>
                  <w:pPr>
                    <w:keepNext w:val="0"/>
                    <w:keepLines w:val="0"/>
                    <w:pageBreakBefore w:val="0"/>
                    <w:kinsoku/>
                    <w:wordWrap/>
                    <w:overflowPunct/>
                    <w:topLinePunct w:val="0"/>
                    <w:bidi w:val="0"/>
                    <w:spacing w:line="240" w:lineRule="auto"/>
                    <w:ind w:left="0" w:leftChars="0" w:right="0"/>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选用低噪声设备；高噪声设备置于单独的房间内，安装设备减震器，加强管理，通过隔声和距离衰减使噪声达标</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restar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固废治理</w:t>
                  </w:r>
                </w:p>
              </w:tc>
              <w:tc>
                <w:tcPr>
                  <w:tcW w:w="2414" w:type="pct"/>
                  <w:vAlign w:val="center"/>
                </w:tcPr>
                <w:p>
                  <w:pPr>
                    <w:keepNext w:val="0"/>
                    <w:keepLines w:val="0"/>
                    <w:pageBreakBefore w:val="0"/>
                    <w:kinsoku/>
                    <w:wordWrap/>
                    <w:overflowPunct/>
                    <w:topLinePunct w:val="0"/>
                    <w:bidi w:val="0"/>
                    <w:spacing w:line="240" w:lineRule="auto"/>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医疗废物暂存间</w:t>
                  </w:r>
                  <w:r>
                    <w:rPr>
                      <w:rFonts w:hint="eastAsia" w:cs="Times New Roman"/>
                      <w:b/>
                      <w:bCs/>
                      <w:color w:val="auto"/>
                      <w:szCs w:val="21"/>
                      <w:highlight w:val="none"/>
                      <w:lang w:val="en-US" w:eastAsia="zh-CN"/>
                    </w:rPr>
                    <w:t>：</w:t>
                  </w:r>
                  <w:r>
                    <w:rPr>
                      <w:rFonts w:hint="eastAsia" w:cs="Times New Roman"/>
                      <w:color w:val="auto"/>
                      <w:szCs w:val="21"/>
                      <w:highlight w:val="none"/>
                      <w:lang w:val="en-US" w:eastAsia="zh-CN"/>
                    </w:rPr>
                    <w:t>1间，位于住院部-1F，建筑面积</w:t>
                  </w:r>
                  <w:r>
                    <w:rPr>
                      <w:rFonts w:hint="eastAsia" w:cs="Times New Roman"/>
                      <w:b w:val="0"/>
                      <w:bCs w:val="0"/>
                      <w:color w:val="auto"/>
                      <w:szCs w:val="21"/>
                      <w:highlight w:val="none"/>
                      <w:lang w:val="en-US" w:eastAsia="zh-CN"/>
                    </w:rPr>
                    <w:t>20m</w:t>
                  </w:r>
                  <w:r>
                    <w:rPr>
                      <w:rFonts w:hint="eastAsia" w:cs="Times New Roman"/>
                      <w:b w:val="0"/>
                      <w:bCs w:val="0"/>
                      <w:color w:val="auto"/>
                      <w:szCs w:val="21"/>
                      <w:highlight w:val="none"/>
                      <w:vertAlign w:val="superscript"/>
                      <w:lang w:val="en-US" w:eastAsia="zh-CN"/>
                    </w:rPr>
                    <w:t>3</w:t>
                  </w:r>
                  <w:r>
                    <w:rPr>
                      <w:rFonts w:hint="eastAsia" w:cs="Times New Roman"/>
                      <w:b w:val="0"/>
                      <w:bCs w:val="0"/>
                      <w:color w:val="auto"/>
                      <w:szCs w:val="21"/>
                      <w:highlight w:val="none"/>
                      <w:lang w:val="en-US" w:eastAsia="zh-CN"/>
                    </w:rPr>
                    <w:t>，</w:t>
                  </w:r>
                  <w:r>
                    <w:rPr>
                      <w:rFonts w:hint="eastAsia" w:cs="Times New Roman"/>
                      <w:color w:val="auto"/>
                      <w:szCs w:val="21"/>
                      <w:highlight w:val="none"/>
                      <w:lang w:val="en-US" w:eastAsia="zh-CN"/>
                    </w:rPr>
                    <w:t>主要暂存医疗废物，定期交由有资质的医疗废物处置单位集中收集、处置</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环境风险</w:t>
                  </w:r>
                </w:p>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恶臭</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2414" w:type="pct"/>
                  <w:vAlign w:val="center"/>
                </w:tcPr>
                <w:p>
                  <w:pPr>
                    <w:keepNext w:val="0"/>
                    <w:keepLines w:val="0"/>
                    <w:pageBreakBefore w:val="0"/>
                    <w:kinsoku/>
                    <w:wordWrap/>
                    <w:overflowPunct/>
                    <w:topLinePunct w:val="0"/>
                    <w:bidi w:val="0"/>
                    <w:spacing w:line="240" w:lineRule="auto"/>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黑体"/>
                      <w:b/>
                      <w:bCs/>
                      <w:color w:val="auto"/>
                      <w:kern w:val="2"/>
                      <w:sz w:val="21"/>
                      <w:szCs w:val="21"/>
                      <w:highlight w:val="none"/>
                      <w:lang w:val="en-US" w:eastAsia="zh-CN" w:bidi="ar-SA"/>
                    </w:rPr>
                    <w:t>一般固废暂存间：</w:t>
                  </w:r>
                  <w:r>
                    <w:rPr>
                      <w:rFonts w:hint="eastAsia" w:cs="Times New Roman"/>
                      <w:color w:val="auto"/>
                      <w:szCs w:val="21"/>
                      <w:highlight w:val="none"/>
                      <w:lang w:val="en-US" w:eastAsia="zh-CN"/>
                    </w:rPr>
                    <w:t>1间，位于住院部-1F，建筑面积</w:t>
                  </w:r>
                  <w:r>
                    <w:rPr>
                      <w:rFonts w:hint="eastAsia" w:cs="Times New Roman"/>
                      <w:b w:val="0"/>
                      <w:bCs w:val="0"/>
                      <w:color w:val="auto"/>
                      <w:szCs w:val="21"/>
                      <w:highlight w:val="none"/>
                      <w:lang w:val="en-US" w:eastAsia="zh-CN"/>
                    </w:rPr>
                    <w:t>30m</w:t>
                  </w:r>
                  <w:r>
                    <w:rPr>
                      <w:rFonts w:hint="eastAsia" w:cs="Times New Roman"/>
                      <w:b w:val="0"/>
                      <w:bCs w:val="0"/>
                      <w:color w:val="auto"/>
                      <w:szCs w:val="21"/>
                      <w:highlight w:val="none"/>
                      <w:vertAlign w:val="superscript"/>
                      <w:lang w:val="en-US" w:eastAsia="zh-CN"/>
                    </w:rPr>
                    <w:t>3</w:t>
                  </w:r>
                  <w:r>
                    <w:rPr>
                      <w:rFonts w:hint="eastAsia" w:cs="Times New Roman"/>
                      <w:b w:val="0"/>
                      <w:bCs w:val="0"/>
                      <w:color w:val="auto"/>
                      <w:szCs w:val="21"/>
                      <w:highlight w:val="none"/>
                      <w:lang w:val="en-US" w:eastAsia="zh-CN"/>
                    </w:rPr>
                    <w:t>，</w:t>
                  </w:r>
                  <w:r>
                    <w:rPr>
                      <w:rFonts w:hint="eastAsia" w:cs="Times New Roman"/>
                      <w:color w:val="auto"/>
                      <w:szCs w:val="21"/>
                      <w:highlight w:val="none"/>
                      <w:lang w:val="en-US" w:eastAsia="zh-CN"/>
                    </w:rPr>
                    <w:t>主要暂存院区产生的一般固体废物</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55" w:type="pct"/>
                  <w:vAlign w:val="center"/>
                </w:tcPr>
                <w:p>
                  <w:pPr>
                    <w:keepNext w:val="0"/>
                    <w:keepLines w:val="0"/>
                    <w:pageBreakBefore w:val="0"/>
                    <w:kinsoku/>
                    <w:wordWrap/>
                    <w:overflowPunct/>
                    <w:topLinePunct w:val="0"/>
                    <w:bidi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2414" w:type="pct"/>
                  <w:vAlign w:val="center"/>
                </w:tcPr>
                <w:p>
                  <w:pPr>
                    <w:keepNext w:val="0"/>
                    <w:keepLines w:val="0"/>
                    <w:pageBreakBefore w:val="0"/>
                    <w:kinsoku/>
                    <w:wordWrap/>
                    <w:overflowPunct/>
                    <w:topLinePunct w:val="0"/>
                    <w:bidi w:val="0"/>
                    <w:spacing w:line="240" w:lineRule="auto"/>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b/>
                      <w:bCs/>
                      <w:color w:val="auto"/>
                      <w:szCs w:val="21"/>
                      <w:highlight w:val="none"/>
                    </w:rPr>
                    <w:t>餐厨垃圾收集点</w:t>
                  </w:r>
                  <w:r>
                    <w:rPr>
                      <w:rFonts w:hint="eastAsia"/>
                      <w:b/>
                      <w:bCs/>
                      <w:color w:val="auto"/>
                      <w:szCs w:val="21"/>
                      <w:highlight w:val="none"/>
                    </w:rPr>
                    <w:t>：</w:t>
                  </w:r>
                  <w:r>
                    <w:rPr>
                      <w:color w:val="auto"/>
                      <w:szCs w:val="21"/>
                      <w:highlight w:val="none"/>
                    </w:rPr>
                    <w:t>位于</w:t>
                  </w:r>
                  <w:r>
                    <w:rPr>
                      <w:rFonts w:hint="eastAsia"/>
                      <w:color w:val="auto"/>
                      <w:szCs w:val="21"/>
                      <w:highlight w:val="none"/>
                      <w:lang w:eastAsia="zh-CN"/>
                    </w:rPr>
                    <w:t>食堂</w:t>
                  </w:r>
                  <w:r>
                    <w:rPr>
                      <w:color w:val="auto"/>
                      <w:szCs w:val="21"/>
                      <w:highlight w:val="none"/>
                    </w:rPr>
                    <w:t>内，用于暂存餐厨垃圾，实现日产日清</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87" w:type="pct"/>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餐厨垃圾</w:t>
                  </w:r>
                </w:p>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垃圾恶臭</w:t>
                  </w:r>
                </w:p>
              </w:tc>
              <w:tc>
                <w:tcPr>
                  <w:tcW w:w="355"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p>
              </w:tc>
              <w:tc>
                <w:tcPr>
                  <w:tcW w:w="591"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w:t>
                  </w:r>
                </w:p>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防范</w:t>
                  </w:r>
                </w:p>
              </w:tc>
              <w:tc>
                <w:tcPr>
                  <w:tcW w:w="2414" w:type="pct"/>
                  <w:vAlign w:val="center"/>
                </w:tcPr>
                <w:p>
                  <w:pPr>
                    <w:keepNext w:val="0"/>
                    <w:keepLines w:val="0"/>
                    <w:pageBreakBefore w:val="0"/>
                    <w:kinsoku/>
                    <w:wordWrap/>
                    <w:overflowPunct/>
                    <w:topLinePunct w:val="0"/>
                    <w:bidi w:val="0"/>
                    <w:spacing w:line="240" w:lineRule="auto"/>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厂区采取分区防渗措施，对于</w:t>
                  </w:r>
                  <w:r>
                    <w:rPr>
                      <w:rFonts w:hint="eastAsia" w:cs="Times New Roman"/>
                      <w:color w:val="auto"/>
                      <w:szCs w:val="21"/>
                      <w:highlight w:val="none"/>
                      <w:lang w:val="en-US" w:eastAsia="zh-CN"/>
                    </w:rPr>
                    <w:t>医疗废物暂存间</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柴油</w:t>
                  </w:r>
                  <w:r>
                    <w:rPr>
                      <w:rFonts w:hint="default" w:ascii="Times New Roman" w:hAnsi="Times New Roman" w:cs="Times New Roman"/>
                      <w:color w:val="auto"/>
                      <w:szCs w:val="21"/>
                      <w:highlight w:val="none"/>
                    </w:rPr>
                    <w:t>发电机房</w:t>
                  </w:r>
                  <w:r>
                    <w:rPr>
                      <w:rFonts w:hint="eastAsia" w:cs="Times New Roman"/>
                      <w:color w:val="auto"/>
                      <w:szCs w:val="21"/>
                      <w:highlight w:val="none"/>
                      <w:lang w:eastAsia="zh-CN"/>
                    </w:rPr>
                    <w:t>（</w:t>
                  </w:r>
                  <w:r>
                    <w:rPr>
                      <w:rFonts w:hint="eastAsia" w:cs="Times New Roman"/>
                      <w:color w:val="auto"/>
                      <w:szCs w:val="21"/>
                      <w:highlight w:val="none"/>
                      <w:lang w:val="en-US" w:eastAsia="zh-CN"/>
                    </w:rPr>
                    <w:t>含储油间</w:t>
                  </w:r>
                  <w:r>
                    <w:rPr>
                      <w:rFonts w:hint="eastAsia" w:cs="Times New Roman"/>
                      <w:color w:val="auto"/>
                      <w:szCs w:val="21"/>
                      <w:highlight w:val="none"/>
                      <w:lang w:eastAsia="zh-CN"/>
                    </w:rPr>
                    <w:t>）、</w:t>
                  </w:r>
                  <w:r>
                    <w:rPr>
                      <w:rFonts w:hint="eastAsia" w:cs="Times New Roman"/>
                      <w:color w:val="auto"/>
                      <w:szCs w:val="21"/>
                      <w:highlight w:val="none"/>
                      <w:lang w:val="en-US" w:eastAsia="zh-CN"/>
                    </w:rPr>
                    <w:t>污水处理设施池体、化粪池等</w:t>
                  </w:r>
                  <w:r>
                    <w:rPr>
                      <w:rFonts w:hint="default" w:ascii="Times New Roman" w:hAnsi="Times New Roman" w:cs="Times New Roman"/>
                      <w:color w:val="auto"/>
                      <w:szCs w:val="21"/>
                      <w:highlight w:val="none"/>
                    </w:rPr>
                    <w:t>进行重点防渗；</w:t>
                  </w:r>
                  <w:r>
                    <w:rPr>
                      <w:rFonts w:hint="eastAsia" w:cs="Times New Roman"/>
                      <w:color w:val="auto"/>
                      <w:szCs w:val="21"/>
                      <w:highlight w:val="none"/>
                      <w:lang w:val="en-US" w:eastAsia="zh-CN"/>
                    </w:rPr>
                    <w:t>除发热门诊和住院部重点防渗区域外、业务楼等进行一般防渗</w:t>
                  </w:r>
                  <w:r>
                    <w:rPr>
                      <w:rFonts w:hint="eastAsia" w:cs="Times New Roman"/>
                      <w:color w:val="auto"/>
                      <w:szCs w:val="21"/>
                      <w:highlight w:val="none"/>
                      <w:lang w:eastAsia="zh-CN"/>
                    </w:rPr>
                    <w:t>；</w:t>
                  </w:r>
                  <w:r>
                    <w:rPr>
                      <w:rFonts w:hint="eastAsia" w:cs="Times New Roman"/>
                      <w:color w:val="auto"/>
                      <w:szCs w:val="21"/>
                      <w:highlight w:val="none"/>
                      <w:lang w:val="en-US" w:eastAsia="zh-CN"/>
                    </w:rPr>
                    <w:t>院区</w:t>
                  </w:r>
                  <w:r>
                    <w:rPr>
                      <w:rFonts w:hint="default" w:ascii="Times New Roman" w:hAnsi="Times New Roman" w:cs="Times New Roman"/>
                      <w:color w:val="auto"/>
                      <w:szCs w:val="21"/>
                      <w:highlight w:val="none"/>
                    </w:rPr>
                    <w:t>道路采取简单防渗</w:t>
                  </w:r>
                </w:p>
              </w:tc>
              <w:tc>
                <w:tcPr>
                  <w:tcW w:w="584"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87" w:type="pct"/>
                  <w:vAlign w:val="center"/>
                </w:tcPr>
                <w:p>
                  <w:pPr>
                    <w:pStyle w:val="19"/>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环境风险</w:t>
                  </w:r>
                </w:p>
              </w:tc>
              <w:tc>
                <w:tcPr>
                  <w:tcW w:w="355" w:type="pct"/>
                  <w:vAlign w:val="center"/>
                </w:tcPr>
                <w:p>
                  <w:pPr>
                    <w:keepNext w:val="0"/>
                    <w:keepLines w:val="0"/>
                    <w:pageBreakBefore w:val="0"/>
                    <w:kinsoku/>
                    <w:wordWrap/>
                    <w:overflowPunct/>
                    <w:topLinePunct w:val="0"/>
                    <w:bidi w:val="0"/>
                    <w:spacing w:after="0" w:line="240" w:lineRule="auto"/>
                    <w:ind w:left="0" w:leftChars="0" w:right="0" w:firstLine="0" w:firstLineChars="0"/>
                    <w:jc w:val="center"/>
                    <w:rPr>
                      <w:rFonts w:hint="default" w:ascii="Times New Roman" w:hAnsi="Times New Roman" w:cs="Times New Roman"/>
                      <w:color w:val="auto"/>
                      <w:szCs w:val="21"/>
                      <w:highlight w:val="none"/>
                    </w:rPr>
                  </w:pPr>
                  <w:r>
                    <w:rPr>
                      <w:rFonts w:hint="eastAsia" w:cs="Times New Roman"/>
                      <w:b w:val="0"/>
                      <w:bCs w:val="0"/>
                      <w:color w:val="auto"/>
                      <w:szCs w:val="21"/>
                      <w:highlight w:val="none"/>
                      <w:lang w:val="en-US" w:eastAsia="zh-CN"/>
                    </w:rPr>
                    <w:t>新建</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3、主要原辅材料及设备清单</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（1）主要原辅材料</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color w:val="auto"/>
                <w:sz w:val="24"/>
                <w:szCs w:val="36"/>
                <w:highlight w:val="none"/>
                <w:vertAlign w:val="baseline"/>
                <w:lang w:val="en-US" w:eastAsia="zh-CN"/>
              </w:rPr>
            </w:pPr>
            <w:r>
              <w:rPr>
                <w:rFonts w:hint="eastAsia" w:cs="Times New Roman"/>
                <w:b w:val="0"/>
                <w:bCs w:val="0"/>
                <w:color w:val="auto"/>
                <w:sz w:val="24"/>
                <w:szCs w:val="36"/>
                <w:highlight w:val="none"/>
                <w:vertAlign w:val="baseline"/>
                <w:lang w:val="en-US" w:eastAsia="zh-CN"/>
              </w:rPr>
              <w:t>项目原辅材料主要是药品及其医疗器具，药品一般是一次性使用的物品，并有时间性，不能重复使用和过期的药品，医疗器具主要有注射器等，一般为一次性使用。所需主要原辅材料年使用量见下表：</w:t>
            </w:r>
          </w:p>
          <w:p>
            <w:pPr>
              <w:keepNext w:val="0"/>
              <w:keepLines w:val="0"/>
              <w:pageBreakBefore w:val="0"/>
              <w:kinsoku/>
              <w:wordWrap/>
              <w:overflowPunct/>
              <w:topLinePunct w:val="0"/>
              <w:bidi w:val="0"/>
              <w:spacing w:line="360" w:lineRule="auto"/>
              <w:ind w:firstLine="420" w:firstLineChars="200"/>
              <w:jc w:val="center"/>
              <w:rPr>
                <w:rFonts w:eastAsia="黑体"/>
                <w:color w:val="auto"/>
                <w:szCs w:val="21"/>
                <w:highlight w:val="none"/>
              </w:rPr>
            </w:pPr>
            <w:r>
              <w:rPr>
                <w:rFonts w:eastAsia="黑体"/>
                <w:color w:val="auto"/>
                <w:szCs w:val="21"/>
                <w:highlight w:val="none"/>
              </w:rPr>
              <w:t>表2-</w:t>
            </w:r>
            <w:r>
              <w:rPr>
                <w:rFonts w:hint="eastAsia" w:eastAsia="黑体"/>
                <w:color w:val="auto"/>
                <w:szCs w:val="21"/>
                <w:highlight w:val="none"/>
                <w:lang w:val="en-US" w:eastAsia="zh-CN"/>
              </w:rPr>
              <w:t>2</w:t>
            </w:r>
            <w:r>
              <w:rPr>
                <w:rFonts w:eastAsia="黑体"/>
                <w:color w:val="auto"/>
                <w:szCs w:val="21"/>
                <w:highlight w:val="none"/>
              </w:rPr>
              <w:t xml:space="preserve"> 主要原辅材料及其来源</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657"/>
              <w:gridCol w:w="2829"/>
              <w:gridCol w:w="1245"/>
              <w:gridCol w:w="1803"/>
              <w:gridCol w:w="1090"/>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2" w:type="pct"/>
                  <w:noWrap w:val="0"/>
                  <w:vAlign w:val="center"/>
                </w:tcPr>
                <w:p>
                  <w:pPr>
                    <w:keepNext w:val="0"/>
                    <w:keepLines w:val="0"/>
                    <w:pageBreakBefore w:val="0"/>
                    <w:kinsoku/>
                    <w:wordWrap/>
                    <w:overflowPunct/>
                    <w:topLinePunct w:val="0"/>
                    <w:bidi w:val="0"/>
                    <w:spacing w:line="240" w:lineRule="auto"/>
                    <w:jc w:val="center"/>
                    <w:rPr>
                      <w:b/>
                      <w:bCs/>
                      <w:color w:val="auto"/>
                      <w:szCs w:val="21"/>
                      <w:highlight w:val="none"/>
                    </w:rPr>
                  </w:pPr>
                  <w:r>
                    <w:rPr>
                      <w:b/>
                      <w:bCs/>
                      <w:color w:val="auto"/>
                      <w:szCs w:val="21"/>
                      <w:highlight w:val="none"/>
                    </w:rPr>
                    <w:t>类型</w:t>
                  </w:r>
                </w:p>
              </w:tc>
              <w:tc>
                <w:tcPr>
                  <w:tcW w:w="362" w:type="pct"/>
                  <w:noWrap w:val="0"/>
                  <w:vAlign w:val="center"/>
                </w:tcPr>
                <w:p>
                  <w:pPr>
                    <w:keepNext w:val="0"/>
                    <w:keepLines w:val="0"/>
                    <w:pageBreakBefore w:val="0"/>
                    <w:kinsoku/>
                    <w:wordWrap/>
                    <w:overflowPunct/>
                    <w:topLinePunct w:val="0"/>
                    <w:bidi w:val="0"/>
                    <w:spacing w:line="240" w:lineRule="auto"/>
                    <w:jc w:val="center"/>
                    <w:rPr>
                      <w:b/>
                      <w:bCs/>
                      <w:color w:val="auto"/>
                      <w:szCs w:val="21"/>
                      <w:highlight w:val="none"/>
                    </w:rPr>
                  </w:pPr>
                  <w:r>
                    <w:rPr>
                      <w:b/>
                      <w:bCs/>
                      <w:color w:val="auto"/>
                      <w:szCs w:val="21"/>
                      <w:highlight w:val="none"/>
                    </w:rPr>
                    <w:t>类别</w:t>
                  </w:r>
                </w:p>
              </w:tc>
              <w:tc>
                <w:tcPr>
                  <w:tcW w:w="1563" w:type="pct"/>
                  <w:noWrap w:val="0"/>
                  <w:vAlign w:val="center"/>
                </w:tcPr>
                <w:p>
                  <w:pPr>
                    <w:keepNext w:val="0"/>
                    <w:keepLines w:val="0"/>
                    <w:pageBreakBefore w:val="0"/>
                    <w:kinsoku/>
                    <w:wordWrap/>
                    <w:overflowPunct/>
                    <w:topLinePunct w:val="0"/>
                    <w:bidi w:val="0"/>
                    <w:spacing w:line="240" w:lineRule="auto"/>
                    <w:jc w:val="center"/>
                    <w:rPr>
                      <w:b/>
                      <w:bCs/>
                      <w:color w:val="auto"/>
                      <w:szCs w:val="21"/>
                      <w:highlight w:val="none"/>
                    </w:rPr>
                  </w:pPr>
                  <w:r>
                    <w:rPr>
                      <w:b/>
                      <w:bCs/>
                      <w:color w:val="auto"/>
                      <w:szCs w:val="21"/>
                      <w:highlight w:val="none"/>
                    </w:rPr>
                    <w:t>名称</w:t>
                  </w:r>
                </w:p>
              </w:tc>
              <w:tc>
                <w:tcPr>
                  <w:tcW w:w="687" w:type="pct"/>
                  <w:noWrap w:val="0"/>
                  <w:vAlign w:val="center"/>
                </w:tcPr>
                <w:p>
                  <w:pPr>
                    <w:keepNext w:val="0"/>
                    <w:keepLines w:val="0"/>
                    <w:pageBreakBefore w:val="0"/>
                    <w:kinsoku/>
                    <w:wordWrap/>
                    <w:overflowPunct/>
                    <w:topLinePunct w:val="0"/>
                    <w:bidi w:val="0"/>
                    <w:spacing w:line="240" w:lineRule="auto"/>
                    <w:jc w:val="center"/>
                    <w:rPr>
                      <w:b/>
                      <w:bCs/>
                      <w:color w:val="auto"/>
                      <w:szCs w:val="21"/>
                      <w:highlight w:val="none"/>
                    </w:rPr>
                  </w:pPr>
                  <w:r>
                    <w:rPr>
                      <w:b/>
                      <w:bCs/>
                      <w:color w:val="auto"/>
                      <w:szCs w:val="21"/>
                      <w:highlight w:val="none"/>
                    </w:rPr>
                    <w:t>年耗量</w:t>
                  </w:r>
                </w:p>
              </w:tc>
              <w:tc>
                <w:tcPr>
                  <w:tcW w:w="996" w:type="pct"/>
                  <w:noWrap w:val="0"/>
                  <w:vAlign w:val="center"/>
                </w:tcPr>
                <w:p>
                  <w:pPr>
                    <w:keepNext w:val="0"/>
                    <w:keepLines w:val="0"/>
                    <w:pageBreakBefore w:val="0"/>
                    <w:kinsoku/>
                    <w:wordWrap/>
                    <w:overflowPunct/>
                    <w:topLinePunct w:val="0"/>
                    <w:bidi w:val="0"/>
                    <w:spacing w:line="240" w:lineRule="auto"/>
                    <w:jc w:val="center"/>
                    <w:rPr>
                      <w:b/>
                      <w:bCs/>
                      <w:color w:val="auto"/>
                      <w:szCs w:val="21"/>
                      <w:highlight w:val="none"/>
                    </w:rPr>
                  </w:pPr>
                  <w:r>
                    <w:rPr>
                      <w:b/>
                      <w:bCs/>
                      <w:color w:val="auto"/>
                      <w:szCs w:val="21"/>
                      <w:highlight w:val="none"/>
                    </w:rPr>
                    <w:t>来源</w:t>
                  </w:r>
                </w:p>
              </w:tc>
              <w:tc>
                <w:tcPr>
                  <w:tcW w:w="602" w:type="pct"/>
                  <w:noWrap w:val="0"/>
                  <w:vAlign w:val="center"/>
                </w:tcPr>
                <w:p>
                  <w:pPr>
                    <w:keepNext w:val="0"/>
                    <w:keepLines w:val="0"/>
                    <w:pageBreakBefore w:val="0"/>
                    <w:kinsoku/>
                    <w:wordWrap/>
                    <w:overflowPunct/>
                    <w:topLinePunct w:val="0"/>
                    <w:bidi w:val="0"/>
                    <w:spacing w:line="240" w:lineRule="auto"/>
                    <w:jc w:val="center"/>
                    <w:rPr>
                      <w:b/>
                      <w:bCs/>
                      <w:color w:val="auto"/>
                      <w:szCs w:val="21"/>
                      <w:highlight w:val="none"/>
                    </w:rPr>
                  </w:pPr>
                  <w:r>
                    <w:rPr>
                      <w:b/>
                      <w:bCs/>
                      <w:color w:val="auto"/>
                      <w:szCs w:val="21"/>
                      <w:highlight w:val="none"/>
                    </w:rPr>
                    <w:t>储存地点</w:t>
                  </w:r>
                </w:p>
              </w:tc>
              <w:tc>
                <w:tcPr>
                  <w:tcW w:w="355" w:type="pct"/>
                  <w:noWrap w:val="0"/>
                  <w:vAlign w:val="center"/>
                </w:tcPr>
                <w:p>
                  <w:pPr>
                    <w:keepNext w:val="0"/>
                    <w:keepLines w:val="0"/>
                    <w:pageBreakBefore w:val="0"/>
                    <w:kinsoku/>
                    <w:wordWrap/>
                    <w:overflowPunct/>
                    <w:topLinePunct w:val="0"/>
                    <w:bidi w:val="0"/>
                    <w:spacing w:line="240" w:lineRule="auto"/>
                    <w:jc w:val="center"/>
                    <w:rPr>
                      <w:rFonts w:hint="eastAsia" w:eastAsia="宋体"/>
                      <w:b/>
                      <w:bCs/>
                      <w:color w:val="auto"/>
                      <w:szCs w:val="21"/>
                      <w:highlight w:val="none"/>
                      <w:lang w:val="en-US" w:eastAsia="zh-CN"/>
                    </w:rPr>
                  </w:pPr>
                  <w:r>
                    <w:rPr>
                      <w:rFonts w:hint="eastAsia"/>
                      <w:b/>
                      <w:bCs/>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restar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主</w:t>
                  </w:r>
                </w:p>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（辅）</w:t>
                  </w:r>
                </w:p>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料</w:t>
                  </w:r>
                </w:p>
              </w:tc>
              <w:tc>
                <w:tcPr>
                  <w:tcW w:w="362" w:type="pct"/>
                  <w:vMerge w:val="restart"/>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r>
                    <w:rPr>
                      <w:color w:val="auto"/>
                      <w:kern w:val="0"/>
                      <w:szCs w:val="21"/>
                      <w:highlight w:val="none"/>
                    </w:rPr>
                    <w:t>医疗类</w:t>
                  </w:r>
                </w:p>
              </w:tc>
              <w:tc>
                <w:tcPr>
                  <w:tcW w:w="1563"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各类药品</w:t>
                  </w:r>
                </w:p>
              </w:tc>
              <w:tc>
                <w:tcPr>
                  <w:tcW w:w="687"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药房</w:t>
                  </w:r>
                </w:p>
              </w:tc>
              <w:tc>
                <w:tcPr>
                  <w:tcW w:w="355" w:type="pct"/>
                  <w:vMerge w:val="restar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根据营运情况而定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采血针及常规管、凝血管等</w:t>
                  </w:r>
                </w:p>
              </w:tc>
              <w:tc>
                <w:tcPr>
                  <w:tcW w:w="687"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1563" w:type="pct"/>
                  <w:noWrap w:val="0"/>
                  <w:vAlign w:val="center"/>
                </w:tcPr>
                <w:p>
                  <w:pPr>
                    <w:keepNext w:val="0"/>
                    <w:keepLines w:val="0"/>
                    <w:pageBreakBefore w:val="0"/>
                    <w:kinsoku/>
                    <w:wordWrap/>
                    <w:overflowPunct/>
                    <w:topLinePunct w:val="0"/>
                    <w:autoSpaceDE w:val="0"/>
                    <w:autoSpaceDN w:val="0"/>
                    <w:bidi w:val="0"/>
                    <w:adjustRightIn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color w:val="auto"/>
                      <w:szCs w:val="21"/>
                      <w:highlight w:val="none"/>
                    </w:rPr>
                    <w:t>一次性注射器及输液器械</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autoSpaceDE w:val="0"/>
                    <w:autoSpaceDN w:val="0"/>
                    <w:bidi w:val="0"/>
                    <w:adjustRightInd w:val="0"/>
                    <w:spacing w:line="240" w:lineRule="auto"/>
                    <w:jc w:val="center"/>
                    <w:rPr>
                      <w:color w:val="auto"/>
                      <w:kern w:val="0"/>
                      <w:szCs w:val="21"/>
                      <w:highlight w:val="none"/>
                      <w:lang w:val="zh-CN"/>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一次性手套</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一次性帽子</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color w:val="auto"/>
                      <w:szCs w:val="21"/>
                      <w:highlight w:val="none"/>
                    </w:rPr>
                    <w:t>一次性口罩</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lang w:val="zh-CN"/>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color w:val="auto"/>
                      <w:szCs w:val="21"/>
                      <w:highlight w:val="none"/>
                    </w:rPr>
                    <w:t>床单、被服</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lang w:val="zh-CN"/>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color w:val="auto"/>
                      <w:szCs w:val="21"/>
                      <w:highlight w:val="none"/>
                    </w:rPr>
                    <w:t>棉、纱、绷带</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lang w:val="zh-CN"/>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一次性针头</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镇痛泵</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restar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检验类</w:t>
                  </w:r>
                </w:p>
              </w:tc>
              <w:tc>
                <w:tcPr>
                  <w:tcW w:w="1563" w:type="pct"/>
                  <w:noWrap w:val="0"/>
                  <w:vAlign w:val="center"/>
                </w:tcPr>
                <w:p>
                  <w:pPr>
                    <w:keepNext w:val="0"/>
                    <w:keepLines w:val="0"/>
                    <w:pageBreakBefore w:val="0"/>
                    <w:kinsoku/>
                    <w:wordWrap/>
                    <w:overflowPunct/>
                    <w:topLinePunct w:val="0"/>
                    <w:bidi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病理检测试剂盒</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vMerge w:val="restart"/>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试验室</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检测试纸</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培养基</w:t>
                  </w:r>
                </w:p>
              </w:tc>
              <w:tc>
                <w:tcPr>
                  <w:tcW w:w="687"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若干</w:t>
                  </w:r>
                </w:p>
              </w:tc>
              <w:tc>
                <w:tcPr>
                  <w:tcW w:w="996" w:type="pct"/>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外购</w:t>
                  </w:r>
                </w:p>
              </w:tc>
              <w:tc>
                <w:tcPr>
                  <w:tcW w:w="602"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微生物实验室</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restart"/>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r>
                    <w:rPr>
                      <w:color w:val="auto"/>
                      <w:kern w:val="0"/>
                      <w:szCs w:val="21"/>
                      <w:highlight w:val="none"/>
                    </w:rPr>
                    <w:t>消毒类</w:t>
                  </w:r>
                </w:p>
              </w:tc>
              <w:tc>
                <w:tcPr>
                  <w:tcW w:w="1563"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碘伏</w:t>
                  </w:r>
                </w:p>
              </w:tc>
              <w:tc>
                <w:tcPr>
                  <w:tcW w:w="687"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800瓶</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医用酒精</w:t>
                  </w:r>
                </w:p>
              </w:tc>
              <w:tc>
                <w:tcPr>
                  <w:tcW w:w="687"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150瓶</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84消毒液</w:t>
                  </w:r>
                </w:p>
              </w:tc>
              <w:tc>
                <w:tcPr>
                  <w:tcW w:w="687"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1300瓶</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602"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库房</w:t>
                  </w:r>
                </w:p>
              </w:tc>
              <w:tc>
                <w:tcPr>
                  <w:tcW w:w="355"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p>
              </w:tc>
              <w:tc>
                <w:tcPr>
                  <w:tcW w:w="362" w:type="pct"/>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次氯酸钠</w:t>
                  </w:r>
                </w:p>
              </w:tc>
              <w:tc>
                <w:tcPr>
                  <w:tcW w:w="687"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1.0t</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外购</w:t>
                  </w:r>
                </w:p>
              </w:tc>
              <w:tc>
                <w:tcPr>
                  <w:tcW w:w="957" w:type="pct"/>
                  <w:gridSpan w:val="2"/>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一体化污水处理设施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gridSpan w:val="2"/>
                  <w:vMerge w:val="restar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能源</w:t>
                  </w:r>
                </w:p>
              </w:tc>
              <w:tc>
                <w:tcPr>
                  <w:tcW w:w="1563" w:type="pct"/>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r>
                    <w:rPr>
                      <w:color w:val="auto"/>
                      <w:kern w:val="0"/>
                      <w:szCs w:val="21"/>
                      <w:highlight w:val="none"/>
                    </w:rPr>
                    <w:t>电</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80</w:t>
                  </w:r>
                  <w:r>
                    <w:rPr>
                      <w:color w:val="auto"/>
                      <w:szCs w:val="21"/>
                      <w:highlight w:val="none"/>
                    </w:rPr>
                    <w:t>万度</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市政电网</w:t>
                  </w:r>
                </w:p>
              </w:tc>
              <w:tc>
                <w:tcPr>
                  <w:tcW w:w="957" w:type="pct"/>
                  <w:gridSpan w:val="2"/>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gridSpan w:val="2"/>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r>
                    <w:rPr>
                      <w:color w:val="auto"/>
                      <w:kern w:val="0"/>
                      <w:szCs w:val="21"/>
                      <w:highlight w:val="none"/>
                    </w:rPr>
                    <w:t>水</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3.66</w:t>
                  </w:r>
                  <w:r>
                    <w:rPr>
                      <w:rFonts w:hint="eastAsia"/>
                      <w:color w:val="auto"/>
                      <w:szCs w:val="21"/>
                      <w:highlight w:val="none"/>
                    </w:rPr>
                    <w:t>万</w:t>
                  </w:r>
                  <w:r>
                    <w:rPr>
                      <w:color w:val="auto"/>
                      <w:szCs w:val="21"/>
                      <w:highlight w:val="none"/>
                    </w:rPr>
                    <w:t>m</w:t>
                  </w:r>
                  <w:r>
                    <w:rPr>
                      <w:color w:val="auto"/>
                      <w:szCs w:val="21"/>
                      <w:highlight w:val="none"/>
                      <w:vertAlign w:val="superscript"/>
                    </w:rPr>
                    <w:t>3</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市政自来水管网</w:t>
                  </w:r>
                </w:p>
              </w:tc>
              <w:tc>
                <w:tcPr>
                  <w:tcW w:w="957" w:type="pct"/>
                  <w:gridSpan w:val="2"/>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gridSpan w:val="2"/>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r>
                    <w:rPr>
                      <w:color w:val="auto"/>
                      <w:kern w:val="0"/>
                      <w:szCs w:val="21"/>
                      <w:highlight w:val="none"/>
                    </w:rPr>
                    <w:t>天然气</w:t>
                  </w:r>
                </w:p>
              </w:tc>
              <w:tc>
                <w:tcPr>
                  <w:tcW w:w="687"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rFonts w:hint="eastAsia"/>
                      <w:color w:val="auto"/>
                      <w:szCs w:val="21"/>
                      <w:highlight w:val="none"/>
                      <w:lang w:val="en-US" w:eastAsia="zh-CN"/>
                    </w:rPr>
                    <w:t>1800</w:t>
                  </w:r>
                  <w:r>
                    <w:rPr>
                      <w:color w:val="auto"/>
                      <w:szCs w:val="21"/>
                      <w:highlight w:val="none"/>
                    </w:rPr>
                    <w:t>m</w:t>
                  </w:r>
                  <w:r>
                    <w:rPr>
                      <w:color w:val="auto"/>
                      <w:szCs w:val="21"/>
                      <w:highlight w:val="none"/>
                      <w:vertAlign w:val="superscript"/>
                    </w:rPr>
                    <w:t>3</w:t>
                  </w:r>
                </w:p>
              </w:tc>
              <w:tc>
                <w:tcPr>
                  <w:tcW w:w="996" w:type="pct"/>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市政天然气管网</w:t>
                  </w:r>
                </w:p>
              </w:tc>
              <w:tc>
                <w:tcPr>
                  <w:tcW w:w="957" w:type="pct"/>
                  <w:gridSpan w:val="2"/>
                  <w:noWrap w:val="0"/>
                  <w:vAlign w:val="center"/>
                </w:tcPr>
                <w:p>
                  <w:pPr>
                    <w:keepNext w:val="0"/>
                    <w:keepLines w:val="0"/>
                    <w:pageBreakBefore w:val="0"/>
                    <w:kinsoku/>
                    <w:wordWrap/>
                    <w:overflowPunct/>
                    <w:topLinePunct w:val="0"/>
                    <w:bidi w:val="0"/>
                    <w:spacing w:line="240" w:lineRule="auto"/>
                    <w:jc w:val="center"/>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gridSpan w:val="2"/>
                  <w:vMerge w:val="continue"/>
                  <w:noWrap w:val="0"/>
                  <w:vAlign w:val="center"/>
                </w:tcPr>
                <w:p>
                  <w:pPr>
                    <w:keepNext w:val="0"/>
                    <w:keepLines w:val="0"/>
                    <w:pageBreakBefore w:val="0"/>
                    <w:kinsoku/>
                    <w:wordWrap/>
                    <w:overflowPunct/>
                    <w:topLinePunct w:val="0"/>
                    <w:bidi w:val="0"/>
                    <w:spacing w:line="240" w:lineRule="auto"/>
                    <w:jc w:val="center"/>
                    <w:rPr>
                      <w:color w:val="auto"/>
                      <w:kern w:val="0"/>
                      <w:szCs w:val="21"/>
                      <w:highlight w:val="none"/>
                    </w:rPr>
                  </w:pPr>
                </w:p>
              </w:tc>
              <w:tc>
                <w:tcPr>
                  <w:tcW w:w="1563"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柴油</w:t>
                  </w:r>
                </w:p>
              </w:tc>
              <w:tc>
                <w:tcPr>
                  <w:tcW w:w="687"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500L</w:t>
                  </w:r>
                </w:p>
              </w:tc>
              <w:tc>
                <w:tcPr>
                  <w:tcW w:w="996" w:type="pct"/>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外购</w:t>
                  </w:r>
                </w:p>
              </w:tc>
              <w:tc>
                <w:tcPr>
                  <w:tcW w:w="957" w:type="pct"/>
                  <w:gridSpan w:val="2"/>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储油间</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黑体" w:cs="Times New Roman"/>
                <w:color w:val="auto"/>
                <w:kern w:val="2"/>
                <w:sz w:val="21"/>
                <w:szCs w:val="21"/>
                <w:highlight w:val="none"/>
                <w:lang w:val="en-US" w:eastAsia="zh-CN" w:bidi="ar-SA"/>
              </w:rPr>
            </w:pPr>
            <w:r>
              <w:rPr>
                <w:rFonts w:hint="eastAsia" w:ascii="Times New Roman" w:hAnsi="Times New Roman" w:eastAsia="黑体" w:cs="Times New Roman"/>
                <w:color w:val="auto"/>
                <w:kern w:val="2"/>
                <w:sz w:val="21"/>
                <w:szCs w:val="21"/>
                <w:highlight w:val="none"/>
                <w:lang w:val="en-US" w:eastAsia="zh-CN" w:bidi="ar-SA"/>
              </w:rPr>
              <w:t>表</w:t>
            </w:r>
            <w:r>
              <w:rPr>
                <w:rFonts w:hint="eastAsia" w:eastAsia="黑体" w:cs="Times New Roman"/>
                <w:color w:val="auto"/>
                <w:kern w:val="2"/>
                <w:sz w:val="21"/>
                <w:szCs w:val="21"/>
                <w:highlight w:val="none"/>
                <w:lang w:val="en-US" w:eastAsia="zh-CN" w:bidi="ar-SA"/>
              </w:rPr>
              <w:t>2-3 项目主要消毒剂理化特性与用途一览表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338"/>
              <w:gridCol w:w="2999"/>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13"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b/>
                      <w:color w:val="auto"/>
                      <w:kern w:val="0"/>
                      <w:szCs w:val="21"/>
                      <w:highlight w:val="none"/>
                      <w:lang w:eastAsia="zh-CN"/>
                    </w:rPr>
                  </w:pPr>
                  <w:r>
                    <w:rPr>
                      <w:rFonts w:hint="eastAsia"/>
                      <w:b/>
                      <w:color w:val="auto"/>
                      <w:kern w:val="0"/>
                      <w:szCs w:val="21"/>
                      <w:highlight w:val="none"/>
                      <w:lang w:val="en-US" w:eastAsia="zh-CN"/>
                    </w:rPr>
                    <w:t>名称</w:t>
                  </w:r>
                </w:p>
              </w:tc>
              <w:tc>
                <w:tcPr>
                  <w:tcW w:w="2397" w:type="pct"/>
                  <w:noWrap w:val="0"/>
                  <w:vAlign w:val="center"/>
                </w:tcPr>
                <w:p>
                  <w:pPr>
                    <w:keepNext w:val="0"/>
                    <w:keepLines w:val="0"/>
                    <w:pageBreakBefore w:val="0"/>
                    <w:widowControl/>
                    <w:kinsoku/>
                    <w:wordWrap/>
                    <w:overflowPunct/>
                    <w:topLinePunct w:val="0"/>
                    <w:bidi w:val="0"/>
                    <w:snapToGrid w:val="0"/>
                    <w:spacing w:line="240" w:lineRule="auto"/>
                    <w:jc w:val="center"/>
                    <w:rPr>
                      <w:rFonts w:hint="default" w:eastAsia="宋体"/>
                      <w:b/>
                      <w:color w:val="auto"/>
                      <w:kern w:val="0"/>
                      <w:szCs w:val="21"/>
                      <w:highlight w:val="none"/>
                      <w:lang w:val="en-US" w:eastAsia="zh-CN"/>
                    </w:rPr>
                  </w:pPr>
                  <w:r>
                    <w:rPr>
                      <w:rFonts w:hint="eastAsia"/>
                      <w:b/>
                      <w:color w:val="auto"/>
                      <w:kern w:val="0"/>
                      <w:szCs w:val="21"/>
                      <w:highlight w:val="none"/>
                      <w:lang w:val="en-US" w:eastAsia="zh-CN"/>
                    </w:rPr>
                    <w:t>理化特性</w:t>
                  </w:r>
                </w:p>
              </w:tc>
              <w:tc>
                <w:tcPr>
                  <w:tcW w:w="1657" w:type="pct"/>
                  <w:noWrap w:val="0"/>
                  <w:vAlign w:val="center"/>
                </w:tcPr>
                <w:p>
                  <w:pPr>
                    <w:keepNext w:val="0"/>
                    <w:keepLines w:val="0"/>
                    <w:pageBreakBefore w:val="0"/>
                    <w:widowControl/>
                    <w:kinsoku/>
                    <w:wordWrap/>
                    <w:overflowPunct/>
                    <w:topLinePunct w:val="0"/>
                    <w:bidi w:val="0"/>
                    <w:snapToGrid w:val="0"/>
                    <w:spacing w:line="240" w:lineRule="auto"/>
                    <w:jc w:val="center"/>
                    <w:rPr>
                      <w:rFonts w:hint="default" w:eastAsia="宋体"/>
                      <w:b/>
                      <w:color w:val="auto"/>
                      <w:kern w:val="0"/>
                      <w:szCs w:val="21"/>
                      <w:highlight w:val="none"/>
                      <w:lang w:val="en-US" w:eastAsia="zh-CN"/>
                    </w:rPr>
                  </w:pPr>
                  <w:r>
                    <w:rPr>
                      <w:rFonts w:hint="eastAsia"/>
                      <w:b/>
                      <w:color w:val="auto"/>
                      <w:kern w:val="0"/>
                      <w:szCs w:val="21"/>
                      <w:highlight w:val="none"/>
                      <w:lang w:val="en-US" w:eastAsia="zh-CN"/>
                    </w:rPr>
                    <w:t>用途</w:t>
                  </w:r>
                </w:p>
              </w:tc>
              <w:tc>
                <w:tcPr>
                  <w:tcW w:w="631"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b/>
                      <w:color w:val="auto"/>
                      <w:kern w:val="0"/>
                      <w:szCs w:val="21"/>
                      <w:highlight w:val="none"/>
                      <w:lang w:val="en-US" w:eastAsia="zh-CN"/>
                    </w:rPr>
                  </w:pPr>
                  <w:r>
                    <w:rPr>
                      <w:rFonts w:hint="eastAsia"/>
                      <w:b/>
                      <w:color w:val="auto"/>
                      <w:kern w:val="0"/>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pPr>
                    <w:keepNext w:val="0"/>
                    <w:keepLines w:val="0"/>
                    <w:pageBreakBefore w:val="0"/>
                    <w:widowControl/>
                    <w:kinsoku/>
                    <w:wordWrap/>
                    <w:overflowPunct/>
                    <w:topLinePunct w:val="0"/>
                    <w:bidi w:val="0"/>
                    <w:snapToGrid w:val="0"/>
                    <w:spacing w:line="24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碘伏</w:t>
                  </w:r>
                </w:p>
              </w:tc>
              <w:tc>
                <w:tcPr>
                  <w:tcW w:w="2397" w:type="pct"/>
                  <w:noWrap w:val="0"/>
                  <w:vAlign w:val="center"/>
                </w:tcPr>
                <w:p>
                  <w:pPr>
                    <w:keepNext w:val="0"/>
                    <w:keepLines w:val="0"/>
                    <w:pageBreakBefore w:val="0"/>
                    <w:widowControl/>
                    <w:kinsoku/>
                    <w:wordWrap/>
                    <w:overflowPunct/>
                    <w:topLinePunct w:val="0"/>
                    <w:bidi w:val="0"/>
                    <w:snapToGrid w:val="0"/>
                    <w:spacing w:line="240" w:lineRule="auto"/>
                    <w:jc w:val="both"/>
                    <w:rPr>
                      <w:color w:val="auto"/>
                      <w:kern w:val="0"/>
                      <w:szCs w:val="21"/>
                      <w:highlight w:val="none"/>
                    </w:rPr>
                  </w:pPr>
                  <w:r>
                    <w:rPr>
                      <w:rFonts w:hint="eastAsia"/>
                      <w:color w:val="auto"/>
                      <w:kern w:val="0"/>
                      <w:szCs w:val="21"/>
                      <w:highlight w:val="none"/>
                    </w:rPr>
                    <w:t>紫黑色液体。是碘和表面活性剂的不定性结合物。使用方法和范围：0.3%-0.5%的碘伏用于手和外科皮肤消毒。</w:t>
                  </w:r>
                </w:p>
              </w:tc>
              <w:tc>
                <w:tcPr>
                  <w:tcW w:w="1657" w:type="pct"/>
                  <w:noWrap w:val="0"/>
                  <w:vAlign w:val="center"/>
                </w:tcPr>
                <w:p>
                  <w:pPr>
                    <w:keepNext w:val="0"/>
                    <w:keepLines w:val="0"/>
                    <w:pageBreakBefore w:val="0"/>
                    <w:widowControl/>
                    <w:kinsoku/>
                    <w:wordWrap/>
                    <w:overflowPunct/>
                    <w:topLinePunct w:val="0"/>
                    <w:bidi w:val="0"/>
                    <w:snapToGrid w:val="0"/>
                    <w:spacing w:line="240" w:lineRule="auto"/>
                    <w:jc w:val="both"/>
                    <w:rPr>
                      <w:color w:val="auto"/>
                      <w:kern w:val="0"/>
                      <w:szCs w:val="21"/>
                      <w:highlight w:val="none"/>
                    </w:rPr>
                  </w:pPr>
                  <w:r>
                    <w:rPr>
                      <w:rFonts w:hint="eastAsia"/>
                      <w:color w:val="auto"/>
                      <w:kern w:val="0"/>
                      <w:szCs w:val="21"/>
                      <w:highlight w:val="none"/>
                    </w:rPr>
                    <w:t>广谱杀菌作用，可杀灭细菌繁殖体、芽孢、真菌和部分病毒。</w:t>
                  </w:r>
                </w:p>
              </w:tc>
              <w:tc>
                <w:tcPr>
                  <w:tcW w:w="631" w:type="pct"/>
                  <w:noWrap w:val="0"/>
                  <w:vAlign w:val="center"/>
                </w:tcPr>
                <w:p>
                  <w:pPr>
                    <w:keepNext w:val="0"/>
                    <w:keepLines w:val="0"/>
                    <w:pageBreakBefore w:val="0"/>
                    <w:widowControl/>
                    <w:kinsoku/>
                    <w:wordWrap/>
                    <w:overflowPunct/>
                    <w:topLinePunct w:val="0"/>
                    <w:bidi w:val="0"/>
                    <w:snapToGrid w:val="0"/>
                    <w:spacing w:line="240" w:lineRule="auto"/>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创口消毒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pPr>
                    <w:keepNext w:val="0"/>
                    <w:keepLines w:val="0"/>
                    <w:pageBreakBefore w:val="0"/>
                    <w:widowControl/>
                    <w:kinsoku/>
                    <w:wordWrap/>
                    <w:overflowPunct/>
                    <w:topLinePunct w:val="0"/>
                    <w:bidi w:val="0"/>
                    <w:snapToGrid w:val="0"/>
                    <w:spacing w:line="240" w:lineRule="auto"/>
                    <w:jc w:val="center"/>
                    <w:rPr>
                      <w:color w:val="auto"/>
                      <w:kern w:val="0"/>
                      <w:szCs w:val="21"/>
                      <w:highlight w:val="none"/>
                    </w:rPr>
                  </w:pPr>
                  <w:r>
                    <w:rPr>
                      <w:color w:val="auto"/>
                      <w:kern w:val="0"/>
                      <w:szCs w:val="21"/>
                      <w:highlight w:val="none"/>
                    </w:rPr>
                    <w:t>84消毒液</w:t>
                  </w:r>
                </w:p>
              </w:tc>
              <w:tc>
                <w:tcPr>
                  <w:tcW w:w="2397"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color w:val="auto"/>
                      <w:kern w:val="0"/>
                      <w:szCs w:val="21"/>
                      <w:highlight w:val="none"/>
                      <w:lang w:eastAsia="zh-CN"/>
                    </w:rPr>
                  </w:pPr>
                  <w:r>
                    <w:rPr>
                      <w:rFonts w:hint="eastAsia" w:eastAsia="宋体"/>
                      <w:color w:val="auto"/>
                      <w:kern w:val="0"/>
                      <w:szCs w:val="21"/>
                      <w:highlight w:val="none"/>
                      <w:lang w:eastAsia="zh-CN"/>
                    </w:rPr>
                    <w:t>84消毒液是一种以次氯酸钠为主的高效消毒剂，主要成分为次氯酸钠（NaClO）。为无色或淡黄色液体，有效氯含量因不同厂家产品略有差异</w:t>
                  </w:r>
                  <w:bookmarkStart w:id="2" w:name="ref_4"/>
                  <w:bookmarkEnd w:id="2"/>
                  <w:r>
                    <w:rPr>
                      <w:rFonts w:hint="eastAsia" w:eastAsia="宋体"/>
                      <w:color w:val="auto"/>
                      <w:kern w:val="0"/>
                      <w:szCs w:val="21"/>
                      <w:highlight w:val="none"/>
                      <w:lang w:eastAsia="zh-CN"/>
                    </w:rPr>
                    <w:t>，通常为5.5%～6.5%。</w:t>
                  </w:r>
                </w:p>
              </w:tc>
              <w:tc>
                <w:tcPr>
                  <w:tcW w:w="1657"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color w:val="auto"/>
                      <w:kern w:val="0"/>
                      <w:szCs w:val="21"/>
                      <w:highlight w:val="none"/>
                      <w:lang w:eastAsia="zh-CN"/>
                    </w:rPr>
                  </w:pPr>
                  <w:r>
                    <w:rPr>
                      <w:color w:val="auto"/>
                      <w:kern w:val="0"/>
                      <w:szCs w:val="21"/>
                      <w:highlight w:val="none"/>
                    </w:rPr>
                    <w:t>用于杀灭细菌和病毒、预防疾病并抑制传播</w:t>
                  </w:r>
                  <w:r>
                    <w:rPr>
                      <w:rFonts w:hint="eastAsia"/>
                      <w:color w:val="auto"/>
                      <w:kern w:val="0"/>
                      <w:szCs w:val="21"/>
                      <w:highlight w:val="none"/>
                      <w:lang w:eastAsia="zh-CN"/>
                    </w:rPr>
                    <w:t>。</w:t>
                  </w:r>
                </w:p>
              </w:tc>
              <w:tc>
                <w:tcPr>
                  <w:tcW w:w="631" w:type="pct"/>
                  <w:noWrap w:val="0"/>
                  <w:vAlign w:val="center"/>
                </w:tcPr>
                <w:p>
                  <w:pPr>
                    <w:keepNext w:val="0"/>
                    <w:keepLines w:val="0"/>
                    <w:pageBreakBefore w:val="0"/>
                    <w:widowControl/>
                    <w:kinsoku/>
                    <w:wordWrap/>
                    <w:overflowPunct/>
                    <w:topLinePunct w:val="0"/>
                    <w:bidi w:val="0"/>
                    <w:snapToGrid w:val="0"/>
                    <w:spacing w:line="240" w:lineRule="auto"/>
                    <w:jc w:val="center"/>
                    <w:rPr>
                      <w:color w:val="auto"/>
                      <w:kern w:val="0"/>
                      <w:szCs w:val="21"/>
                      <w:highlight w:val="none"/>
                    </w:rPr>
                  </w:pPr>
                  <w:r>
                    <w:rPr>
                      <w:rFonts w:hint="eastAsia"/>
                      <w:color w:val="auto"/>
                      <w:kern w:val="0"/>
                      <w:szCs w:val="21"/>
                      <w:highlight w:val="none"/>
                      <w:lang w:val="en-US" w:eastAsia="zh-CN"/>
                    </w:rPr>
                    <w:t>常规消毒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医用酒精</w:t>
                  </w:r>
                </w:p>
              </w:tc>
              <w:tc>
                <w:tcPr>
                  <w:tcW w:w="2397" w:type="pct"/>
                  <w:noWrap w:val="0"/>
                  <w:vAlign w:val="center"/>
                </w:tcPr>
                <w:p>
                  <w:pPr>
                    <w:keepNext w:val="0"/>
                    <w:keepLines w:val="0"/>
                    <w:pageBreakBefore w:val="0"/>
                    <w:widowControl/>
                    <w:kinsoku/>
                    <w:wordWrap/>
                    <w:overflowPunct/>
                    <w:topLinePunct w:val="0"/>
                    <w:bidi w:val="0"/>
                    <w:snapToGrid w:val="0"/>
                    <w:spacing w:line="240" w:lineRule="auto"/>
                    <w:jc w:val="both"/>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 xml:space="preserve">CAS号：64-17-5 </w:t>
                  </w:r>
                  <w:r>
                    <w:rPr>
                      <w:rFonts w:hint="eastAsia"/>
                      <w:color w:val="auto"/>
                      <w:kern w:val="0"/>
                      <w:szCs w:val="21"/>
                      <w:highlight w:val="none"/>
                      <w:lang w:val="en-US" w:eastAsia="zh-CN"/>
                    </w:rPr>
                    <w:t xml:space="preserve"> </w:t>
                  </w:r>
                  <w:r>
                    <w:rPr>
                      <w:rFonts w:hint="eastAsia"/>
                      <w:color w:val="auto"/>
                      <w:kern w:val="0"/>
                      <w:szCs w:val="21"/>
                      <w:highlight w:val="none"/>
                    </w:rPr>
                    <w:t>无色液体，有酒香；与水混溶，可混溶与醚、氯仿、甘油等多数有机溶剂；用于制酒工业、有机合成、消毒以用作溶剂、易燃，其蒸气与空气可形成爆炸性混合物。遇明火、高热能引起爆炸燃烧。与氧化剂接触发生化学反应或引起燃烧。</w:t>
                  </w:r>
                </w:p>
              </w:tc>
              <w:tc>
                <w:tcPr>
                  <w:tcW w:w="1657" w:type="pct"/>
                  <w:noWrap w:val="0"/>
                  <w:vAlign w:val="center"/>
                </w:tcPr>
                <w:p>
                  <w:pPr>
                    <w:keepNext w:val="0"/>
                    <w:keepLines w:val="0"/>
                    <w:pageBreakBefore w:val="0"/>
                    <w:widowControl/>
                    <w:kinsoku/>
                    <w:wordWrap/>
                    <w:overflowPunct/>
                    <w:topLinePunct w:val="0"/>
                    <w:bidi w:val="0"/>
                    <w:snapToGrid w:val="0"/>
                    <w:spacing w:line="240" w:lineRule="auto"/>
                    <w:jc w:val="both"/>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本品可渗入细菌体内，在一定浓度下能使蛋白质凝固而变性从而杀灭细菌。最适宜的杀菌浓度为 75%。50%稀醇可用于预防褥瘊，25%-30%稀醇可擦浴，用于高热病人使体温下降。</w:t>
                  </w:r>
                </w:p>
              </w:tc>
              <w:tc>
                <w:tcPr>
                  <w:tcW w:w="631"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常规消毒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pPr>
                    <w:keepNext w:val="0"/>
                    <w:keepLines w:val="0"/>
                    <w:pageBreakBefore w:val="0"/>
                    <w:widowControl/>
                    <w:kinsoku/>
                    <w:wordWrap/>
                    <w:overflowPunct/>
                    <w:topLinePunct w:val="0"/>
                    <w:bidi w:val="0"/>
                    <w:spacing w:line="240" w:lineRule="auto"/>
                    <w:jc w:val="center"/>
                    <w:textAlignment w:val="center"/>
                    <w:rPr>
                      <w:color w:val="auto"/>
                      <w:szCs w:val="21"/>
                      <w:highlight w:val="none"/>
                    </w:rPr>
                  </w:pPr>
                  <w:r>
                    <w:rPr>
                      <w:color w:val="auto"/>
                      <w:kern w:val="0"/>
                      <w:szCs w:val="21"/>
                      <w:highlight w:val="none"/>
                    </w:rPr>
                    <w:t>次氯酸钠</w:t>
                  </w:r>
                </w:p>
              </w:tc>
              <w:tc>
                <w:tcPr>
                  <w:tcW w:w="2397" w:type="pct"/>
                  <w:noWrap w:val="0"/>
                  <w:vAlign w:val="center"/>
                </w:tcPr>
                <w:p>
                  <w:pPr>
                    <w:keepNext w:val="0"/>
                    <w:keepLines w:val="0"/>
                    <w:pageBreakBefore w:val="0"/>
                    <w:kinsoku/>
                    <w:wordWrap/>
                    <w:overflowPunct/>
                    <w:topLinePunct w:val="0"/>
                    <w:bidi w:val="0"/>
                    <w:spacing w:line="240" w:lineRule="auto"/>
                    <w:jc w:val="both"/>
                    <w:rPr>
                      <w:color w:val="auto"/>
                      <w:szCs w:val="21"/>
                      <w:highlight w:val="none"/>
                    </w:rPr>
                  </w:pPr>
                  <w:r>
                    <w:rPr>
                      <w:rFonts w:hint="eastAsia"/>
                      <w:color w:val="auto"/>
                      <w:szCs w:val="21"/>
                      <w:highlight w:val="none"/>
                    </w:rPr>
                    <w:t>CAS 号：7681-52-9</w:t>
                  </w:r>
                  <w:r>
                    <w:rPr>
                      <w:rFonts w:hint="eastAsia"/>
                      <w:color w:val="auto"/>
                      <w:szCs w:val="21"/>
                      <w:highlight w:val="none"/>
                      <w:lang w:eastAsia="zh-CN"/>
                    </w:rPr>
                    <w:t>；</w:t>
                  </w:r>
                  <w:r>
                    <w:rPr>
                      <w:rFonts w:hint="eastAsia"/>
                      <w:color w:val="auto"/>
                      <w:szCs w:val="21"/>
                      <w:highlight w:val="none"/>
                    </w:rPr>
                    <w:t>微黄色溶液，有似氯气的气味</w:t>
                  </w:r>
                  <w:r>
                    <w:rPr>
                      <w:rFonts w:hint="eastAsia"/>
                      <w:color w:val="auto"/>
                      <w:szCs w:val="21"/>
                      <w:highlight w:val="none"/>
                      <w:lang w:eastAsia="zh-CN"/>
                    </w:rPr>
                    <w:t>；</w:t>
                  </w:r>
                  <w:r>
                    <w:rPr>
                      <w:rFonts w:hint="eastAsia"/>
                      <w:color w:val="auto"/>
                      <w:szCs w:val="21"/>
                      <w:highlight w:val="none"/>
                    </w:rPr>
                    <w:t>分子式：NaClO；NaOCl</w:t>
                  </w:r>
                  <w:r>
                    <w:rPr>
                      <w:rFonts w:hint="eastAsia"/>
                      <w:color w:val="auto"/>
                      <w:szCs w:val="21"/>
                      <w:highlight w:val="none"/>
                      <w:lang w:eastAsia="zh-CN"/>
                    </w:rPr>
                    <w:t>；</w:t>
                  </w:r>
                  <w:r>
                    <w:rPr>
                      <w:rFonts w:hint="eastAsia"/>
                      <w:color w:val="auto"/>
                      <w:szCs w:val="21"/>
                      <w:highlight w:val="none"/>
                    </w:rPr>
                    <w:t xml:space="preserve">分子量：74.44；熔点：-6℃ 密度：相对密度（水=1）1.10 蒸汽压：102.2℃ </w:t>
                  </w:r>
                </w:p>
              </w:tc>
              <w:tc>
                <w:tcPr>
                  <w:tcW w:w="1657" w:type="pct"/>
                  <w:noWrap w:val="0"/>
                  <w:vAlign w:val="center"/>
                </w:tcPr>
                <w:p>
                  <w:pPr>
                    <w:keepNext w:val="0"/>
                    <w:keepLines w:val="0"/>
                    <w:pageBreakBefore w:val="0"/>
                    <w:widowControl/>
                    <w:kinsoku/>
                    <w:wordWrap/>
                    <w:overflowPunct/>
                    <w:topLinePunct w:val="0"/>
                    <w:bidi w:val="0"/>
                    <w:spacing w:line="240" w:lineRule="auto"/>
                    <w:jc w:val="center"/>
                    <w:textAlignment w:val="center"/>
                    <w:rPr>
                      <w:rFonts w:hint="eastAsia" w:eastAsia="宋体"/>
                      <w:color w:val="auto"/>
                      <w:szCs w:val="21"/>
                      <w:highlight w:val="none"/>
                      <w:lang w:eastAsia="zh-CN"/>
                    </w:rPr>
                  </w:pPr>
                  <w:r>
                    <w:rPr>
                      <w:rFonts w:hint="eastAsia"/>
                      <w:color w:val="auto"/>
                      <w:szCs w:val="21"/>
                      <w:highlight w:val="none"/>
                    </w:rPr>
                    <w:t>用于水的净化，以及作消毒剂、纸浆漂白等，医药工业中用制氯胺等</w:t>
                  </w:r>
                  <w:r>
                    <w:rPr>
                      <w:rFonts w:hint="eastAsia"/>
                      <w:color w:val="auto"/>
                      <w:szCs w:val="21"/>
                      <w:highlight w:val="none"/>
                      <w:lang w:eastAsia="zh-CN"/>
                    </w:rPr>
                    <w:t>。</w:t>
                  </w:r>
                </w:p>
              </w:tc>
              <w:tc>
                <w:tcPr>
                  <w:tcW w:w="631" w:type="pct"/>
                  <w:noWrap w:val="0"/>
                  <w:vAlign w:val="center"/>
                </w:tcPr>
                <w:p>
                  <w:pPr>
                    <w:keepNext w:val="0"/>
                    <w:keepLines w:val="0"/>
                    <w:pageBreakBefore w:val="0"/>
                    <w:widowControl/>
                    <w:kinsoku/>
                    <w:wordWrap/>
                    <w:overflowPunct/>
                    <w:topLinePunct w:val="0"/>
                    <w:bidi w:val="0"/>
                    <w:spacing w:line="240" w:lineRule="auto"/>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一体化污水处理设施尾水消毒</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bCs/>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（2）主要医疗设备清单</w:t>
            </w:r>
          </w:p>
          <w:p>
            <w:pPr>
              <w:keepNext w:val="0"/>
              <w:keepLines w:val="0"/>
              <w:pageBreakBefore w:val="0"/>
              <w:kinsoku/>
              <w:wordWrap/>
              <w:overflowPunct/>
              <w:topLinePunct w:val="0"/>
              <w:bidi w:val="0"/>
              <w:adjustRightInd w:val="0"/>
              <w:snapToGrid w:val="0"/>
              <w:spacing w:line="360" w:lineRule="auto"/>
              <w:jc w:val="center"/>
              <w:rPr>
                <w:rFonts w:eastAsia="黑体"/>
                <w:color w:val="auto"/>
                <w:szCs w:val="21"/>
                <w:highlight w:val="none"/>
              </w:rPr>
            </w:pPr>
            <w:r>
              <w:rPr>
                <w:rFonts w:eastAsia="黑体"/>
                <w:color w:val="auto"/>
                <w:szCs w:val="21"/>
                <w:highlight w:val="none"/>
              </w:rPr>
              <w:t>表2-4  主要医疗设备清单</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2836"/>
              <w:gridCol w:w="3377"/>
              <w:gridCol w:w="815"/>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62"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b/>
                      <w:color w:val="auto"/>
                      <w:kern w:val="0"/>
                      <w:szCs w:val="21"/>
                      <w:highlight w:val="none"/>
                      <w:lang w:val="en-US" w:eastAsia="zh-CN"/>
                    </w:rPr>
                  </w:pPr>
                  <w:r>
                    <w:rPr>
                      <w:rFonts w:hint="eastAsia"/>
                      <w:b/>
                      <w:color w:val="auto"/>
                      <w:kern w:val="0"/>
                      <w:szCs w:val="21"/>
                      <w:highlight w:val="none"/>
                      <w:lang w:val="en-US" w:eastAsia="zh-CN"/>
                    </w:rPr>
                    <w:t>科室</w:t>
                  </w:r>
                </w:p>
              </w:tc>
              <w:tc>
                <w:tcPr>
                  <w:tcW w:w="1567" w:type="pct"/>
                  <w:noWrap w:val="0"/>
                  <w:vAlign w:val="center"/>
                </w:tcPr>
                <w:p>
                  <w:pPr>
                    <w:keepNext w:val="0"/>
                    <w:keepLines w:val="0"/>
                    <w:pageBreakBefore w:val="0"/>
                    <w:widowControl/>
                    <w:kinsoku/>
                    <w:wordWrap/>
                    <w:overflowPunct/>
                    <w:topLinePunct w:val="0"/>
                    <w:bidi w:val="0"/>
                    <w:snapToGrid w:val="0"/>
                    <w:spacing w:line="240" w:lineRule="auto"/>
                    <w:jc w:val="center"/>
                    <w:rPr>
                      <w:b/>
                      <w:color w:val="auto"/>
                      <w:kern w:val="0"/>
                      <w:szCs w:val="21"/>
                      <w:highlight w:val="none"/>
                    </w:rPr>
                  </w:pPr>
                  <w:r>
                    <w:rPr>
                      <w:b/>
                      <w:color w:val="auto"/>
                      <w:kern w:val="0"/>
                      <w:szCs w:val="21"/>
                      <w:highlight w:val="none"/>
                    </w:rPr>
                    <w:t>设</w:t>
                  </w:r>
                  <w:r>
                    <w:rPr>
                      <w:rFonts w:hint="eastAsia"/>
                      <w:b/>
                      <w:color w:val="auto"/>
                      <w:kern w:val="0"/>
                      <w:szCs w:val="21"/>
                      <w:highlight w:val="none"/>
                    </w:rPr>
                    <w:t>备</w:t>
                  </w:r>
                  <w:r>
                    <w:rPr>
                      <w:b/>
                      <w:color w:val="auto"/>
                      <w:kern w:val="0"/>
                      <w:szCs w:val="21"/>
                      <w:highlight w:val="none"/>
                    </w:rPr>
                    <w:t>名称</w:t>
                  </w:r>
                </w:p>
              </w:tc>
              <w:tc>
                <w:tcPr>
                  <w:tcW w:w="1866"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b/>
                      <w:color w:val="auto"/>
                      <w:kern w:val="0"/>
                      <w:szCs w:val="21"/>
                      <w:highlight w:val="none"/>
                      <w:lang w:eastAsia="zh-CN"/>
                    </w:rPr>
                  </w:pPr>
                  <w:r>
                    <w:rPr>
                      <w:rFonts w:hint="eastAsia"/>
                      <w:b/>
                      <w:color w:val="auto"/>
                      <w:kern w:val="0"/>
                      <w:szCs w:val="21"/>
                      <w:highlight w:val="none"/>
                      <w:lang w:val="en-US" w:eastAsia="zh-CN"/>
                    </w:rPr>
                    <w:t>规格</w:t>
                  </w:r>
                </w:p>
              </w:tc>
              <w:tc>
                <w:tcPr>
                  <w:tcW w:w="450"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b/>
                      <w:color w:val="auto"/>
                      <w:kern w:val="0"/>
                      <w:szCs w:val="21"/>
                      <w:highlight w:val="none"/>
                      <w:lang w:val="en-US" w:eastAsia="zh-CN"/>
                    </w:rPr>
                  </w:pPr>
                  <w:r>
                    <w:rPr>
                      <w:rFonts w:hint="eastAsia"/>
                      <w:b/>
                      <w:color w:val="auto"/>
                      <w:kern w:val="0"/>
                      <w:szCs w:val="21"/>
                      <w:highlight w:val="none"/>
                      <w:lang w:val="en-US" w:eastAsia="zh-CN"/>
                    </w:rPr>
                    <w:t>单位</w:t>
                  </w:r>
                </w:p>
              </w:tc>
              <w:tc>
                <w:tcPr>
                  <w:tcW w:w="454" w:type="pc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b/>
                      <w:color w:val="auto"/>
                      <w:kern w:val="0"/>
                      <w:szCs w:val="21"/>
                      <w:highlight w:val="none"/>
                      <w:lang w:val="en-US" w:eastAsia="zh-CN"/>
                    </w:rPr>
                  </w:pPr>
                  <w:r>
                    <w:rPr>
                      <w:b/>
                      <w:color w:val="auto"/>
                      <w:kern w:val="0"/>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血透室</w:t>
                  </w: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血液透析滤过机</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7102072</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血液透析机</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7102005</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多功能空气消毒机</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KDSJ-G1500</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天田牌空气消毒机</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TT/DTYX-80T</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血液透析用制水设备</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WJ-ROII-1500A</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心电监护仪</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iPM 6</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电子血压计</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HEM-7121</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外科</w:t>
                  </w: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MEC-1000</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w:t>
                  </w:r>
                </w:p>
              </w:tc>
              <w:tc>
                <w:tcPr>
                  <w:tcW w:w="1866"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ZD120B</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输液泵</w:t>
                  </w:r>
                </w:p>
              </w:tc>
              <w:tc>
                <w:tcPr>
                  <w:tcW w:w="1866"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ZBN-XK</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三氧机</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TTYX-60</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吸痰器</w:t>
                  </w:r>
                </w:p>
              </w:tc>
              <w:tc>
                <w:tcPr>
                  <w:tcW w:w="1866"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DXT-1</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烤灯</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TDP-L-I-8A</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烤灯</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COJ-25</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雾化机</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JK-11</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电子血压计</w:t>
                  </w:r>
                </w:p>
              </w:tc>
              <w:tc>
                <w:tcPr>
                  <w:tcW w:w="1866"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HEM7121</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noWrap w:val="0"/>
                  <w:vAlign w:val="center"/>
                </w:tcPr>
                <w:p>
                  <w:pPr>
                    <w:keepNext w:val="0"/>
                    <w:keepLines w:val="0"/>
                    <w:pageBreakBefore w:val="0"/>
                    <w:widowControl/>
                    <w:kinsoku/>
                    <w:wordWrap/>
                    <w:overflowPunct/>
                    <w:topLinePunct w:val="0"/>
                    <w:bidi w:val="0"/>
                    <w:snapToGrid w:val="0"/>
                    <w:spacing w:line="240" w:lineRule="auto"/>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内科</w:t>
                  </w: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心电监护仪</w:t>
                  </w:r>
                </w:p>
              </w:tc>
              <w:tc>
                <w:tcPr>
                  <w:tcW w:w="1866"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uMEC6</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widowControl/>
                    <w:kinsoku/>
                    <w:wordWrap/>
                    <w:overflowPunct/>
                    <w:topLinePunct w:val="0"/>
                    <w:bidi w:val="0"/>
                    <w:snapToGrid w:val="0"/>
                    <w:spacing w:line="240" w:lineRule="auto"/>
                    <w:jc w:val="center"/>
                    <w:rPr>
                      <w:color w:val="auto"/>
                      <w:kern w:val="0"/>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心电监护仪</w:t>
                  </w:r>
                </w:p>
              </w:tc>
              <w:tc>
                <w:tcPr>
                  <w:tcW w:w="1866"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PM-700C</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widowControl/>
                    <w:kinsoku/>
                    <w:wordWrap/>
                    <w:overflowPunct/>
                    <w:topLinePunct w:val="0"/>
                    <w:bidi w:val="0"/>
                    <w:snapToGrid w:val="0"/>
                    <w:spacing w:line="240" w:lineRule="auto"/>
                    <w:jc w:val="center"/>
                    <w:rPr>
                      <w:color w:val="auto"/>
                      <w:kern w:val="0"/>
                      <w:szCs w:val="21"/>
                      <w:highlight w:val="none"/>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心电监护仪</w:t>
                  </w:r>
                </w:p>
              </w:tc>
              <w:tc>
                <w:tcPr>
                  <w:tcW w:w="1866"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MEC-1000</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除颤仪</w:t>
                  </w:r>
                </w:p>
              </w:tc>
              <w:tc>
                <w:tcPr>
                  <w:tcW w:w="1866" w:type="pct"/>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BeneH earD3</w:t>
                  </w:r>
                </w:p>
              </w:tc>
              <w:tc>
                <w:tcPr>
                  <w:tcW w:w="450"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输液泵</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XK00151125A161</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输液泵</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XK00131122A085</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输液泵</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XK00190910A048</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吸痰器</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C6.16.148</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微量震荡器</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HK96-4</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雾化机</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ATR-COMPRESSINGNEBULIZER</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空气消毒仪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YKX-80</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电子血压计（臂式）</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HEM-8102K</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电子血压计（臂式）</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HEM-7121</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血糖仪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悦准I型（710）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微量泵</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KL-6011N</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呼吸机</w:t>
                  </w:r>
                </w:p>
              </w:tc>
              <w:tc>
                <w:tcPr>
                  <w:tcW w:w="1866"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Shangri La590P</w:t>
                  </w:r>
                </w:p>
              </w:tc>
              <w:tc>
                <w:tcPr>
                  <w:tcW w:w="450"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妇产科</w:t>
                  </w: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57AR8000E</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MEC-1000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雾化器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MRB-11</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输液泵</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XK00140716A17P</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空气消毒机</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YKX-Y-800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辐射台</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FXQ3</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辐射台</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BN-100A</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暖箱</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BB-100G</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暖箱</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BB-100W</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胎儿监护仪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F3</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治疗器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CQJ-25</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热疗器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ZQ-108A</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高频电刀</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GE-350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耳声发射检测仪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MSOAE-1H</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非接触式红外体温计</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JXB-178</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电子血压计</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HEM-8102K</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多普勒</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CHX-6D</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多普勒</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CHX-8G</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经皮黄疸仪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MBJ20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手术室</w:t>
                  </w: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UMEC6</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MEC-1000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多功能监护仪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C50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电动吸引器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YX932D</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电动吸引器</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YX932D</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麻醉机</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Aeon7200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麻醉机</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cwm-201</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微量泵</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KL-602</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微量泵</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KL-702</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多功能手术床</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JIECANG</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多功能手术床</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JC35B4-0-6-3-24-100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腹腔镜显示器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0240031020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腹腔镜成像系统</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skryker</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LED内窥镜冷光源</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JRL-11</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气腹机</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3064253</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高频电刀</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GE-350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高频电刀</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GE-350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C臂</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12E1622</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骨科牵引架</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KSG1</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气压止血器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YE-ATS-C</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婴儿辐射台</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HKN-9010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多普勒</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CHX-8G</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除颤仪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急诊科</w:t>
                  </w: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心电监护</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数字心电图机</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ECG-3312</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除颤仪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PRIMEDIC Defi(M110)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吸痰器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SXT-5A</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电动洗胃机</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DXW-A</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腕式电子血压计</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BP885W</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臂式血压计</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紫外线消毒车</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简易呼吸器</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套</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功能科</w:t>
                  </w: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三星麦迪逊彩超机</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SONOACEX8</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便捷式彩色彩超机</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mindray M55</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邦健十二导联心电图机</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ECG-1210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检验科</w:t>
                  </w: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全自动血凝测试仪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SF-8050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全自动化学发光测试仪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MAGLUMI800</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离心机</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TD400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离心机</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TD600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电热恒温水浴箱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420-A</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电热恒温水浴箱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TL-420D</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等离子空气净化消毒机</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AJ/YXDIII</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-25℃低温冰箱（120L）</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DW25-120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血液冷藏箱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XY-120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生物显微镜</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CX22</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立式压力蒸汽灭菌器</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BKQ-B50II</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个</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GSP药品阴凉柜</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LCY-618</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荧光免疫定量分析仪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Getein1100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幽门螺杆菌(HP）测试仪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HUBT-20P</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全自动生化分析仪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CS-600B</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干式荧光免疫分析仪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WA-I</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电冰箱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BCD-195cmn</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五分类全自动血细胞分析仪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URIT-5380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全自动尿液分析仪</w:t>
                  </w:r>
                </w:p>
              </w:tc>
              <w:tc>
                <w:tcPr>
                  <w:tcW w:w="1866"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URIT-1500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全自动尿液有形成分分析仪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URIT-1200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电热恒温培养箱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DH3600</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电解质分析仪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AC9801</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核酸提取仪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EXM3000</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核酸扩增仪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GENTIER96</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血气分析仪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Vitagas8E</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电热恒温培养箱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DH-600</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电热恒温培养箱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DH-3600</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化学发光分析仪</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MQ60ProB</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电冰箱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BIOBASE</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电冰箱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AUCAM</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电冰箱</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AUX</w:t>
                  </w:r>
                </w:p>
              </w:tc>
              <w:tc>
                <w:tcPr>
                  <w:tcW w:w="450"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医用低温冰箱</w:t>
                  </w:r>
                </w:p>
              </w:tc>
              <w:tc>
                <w:tcPr>
                  <w:tcW w:w="1866"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BIOBASE</w:t>
                  </w:r>
                </w:p>
              </w:tc>
              <w:tc>
                <w:tcPr>
                  <w:tcW w:w="450"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ascii="Times New Roman" w:hAnsi="Times New Roman" w:eastAsia="宋体"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A2型生物安全柜</w:t>
                  </w:r>
                </w:p>
              </w:tc>
              <w:tc>
                <w:tcPr>
                  <w:tcW w:w="1866"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restart"/>
                  <w:vAlign w:val="center"/>
                </w:tcPr>
                <w:p>
                  <w:pPr>
                    <w:keepNext w:val="0"/>
                    <w:keepLines w:val="0"/>
                    <w:pageBreakBefore w:val="0"/>
                    <w:widowControl/>
                    <w:kinsoku/>
                    <w:wordWrap/>
                    <w:overflowPunct/>
                    <w:topLinePunct w:val="0"/>
                    <w:bidi w:val="0"/>
                    <w:snapToGrid w:val="0"/>
                    <w:spacing w:line="240" w:lineRule="auto"/>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辅助设施</w:t>
                  </w: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可移动紫外线灯</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hint="eastAsia"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医用制氧系统</w:t>
                  </w:r>
                </w:p>
              </w:tc>
              <w:tc>
                <w:tcPr>
                  <w:tcW w:w="1866"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套</w:t>
                  </w:r>
                </w:p>
              </w:tc>
              <w:tc>
                <w:tcPr>
                  <w:tcW w:w="454"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hint="eastAsia"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一体化污水处理设施</w:t>
                  </w:r>
                </w:p>
              </w:tc>
              <w:tc>
                <w:tcPr>
                  <w:tcW w:w="1866"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80m</w:t>
                  </w:r>
                  <w:r>
                    <w:rPr>
                      <w:rFonts w:hint="eastAsia"/>
                      <w:color w:val="auto"/>
                      <w:szCs w:val="21"/>
                      <w:highlight w:val="none"/>
                      <w:vertAlign w:val="superscript"/>
                      <w:lang w:val="en-US" w:eastAsia="zh-CN"/>
                    </w:rPr>
                    <w:t>3</w:t>
                  </w:r>
                  <w:r>
                    <w:rPr>
                      <w:rFonts w:hint="eastAsia"/>
                      <w:color w:val="auto"/>
                      <w:szCs w:val="21"/>
                      <w:highlight w:val="none"/>
                      <w:lang w:val="en-US" w:eastAsia="zh-CN"/>
                    </w:rPr>
                    <w:t>/d</w:t>
                  </w:r>
                </w:p>
              </w:tc>
              <w:tc>
                <w:tcPr>
                  <w:tcW w:w="450"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套</w:t>
                  </w:r>
                </w:p>
              </w:tc>
              <w:tc>
                <w:tcPr>
                  <w:tcW w:w="454"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hint="eastAsia"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Cs w:val="21"/>
                      <w:highlight w:val="none"/>
                      <w:lang w:val="en-US" w:eastAsia="zh-CN"/>
                    </w:rPr>
                    <w:t>血透用水水处理系统</w:t>
                  </w:r>
                </w:p>
              </w:tc>
              <w:tc>
                <w:tcPr>
                  <w:tcW w:w="1866"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3000L/h</w:t>
                  </w:r>
                </w:p>
              </w:tc>
              <w:tc>
                <w:tcPr>
                  <w:tcW w:w="450"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454"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hint="eastAsia"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柴油发电机</w:t>
                  </w:r>
                </w:p>
              </w:tc>
              <w:tc>
                <w:tcPr>
                  <w:tcW w:w="1866"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150kw</w:t>
                  </w:r>
                </w:p>
              </w:tc>
              <w:tc>
                <w:tcPr>
                  <w:tcW w:w="450"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hint="eastAsia"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油烟净化器</w:t>
                  </w:r>
                </w:p>
              </w:tc>
              <w:tc>
                <w:tcPr>
                  <w:tcW w:w="1866"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lang w:val="en-US" w:eastAsia="zh-CN"/>
                    </w:rPr>
                    <w:t>净化效率</w:t>
                  </w:r>
                  <w:r>
                    <w:rPr>
                      <w:rFonts w:hint="eastAsia"/>
                      <w:color w:val="auto"/>
                      <w:szCs w:val="21"/>
                      <w:highlight w:val="none"/>
                      <w:lang w:val="en-US" w:eastAsia="zh-CN"/>
                    </w:rPr>
                    <w:t>≥</w:t>
                  </w:r>
                  <w:r>
                    <w:rPr>
                      <w:rFonts w:hint="default"/>
                      <w:color w:val="auto"/>
                      <w:szCs w:val="21"/>
                      <w:highlight w:val="none"/>
                      <w:lang w:val="en-US" w:eastAsia="zh-CN"/>
                    </w:rPr>
                    <w:t>85%，风量为10000m</w:t>
                  </w:r>
                  <w:r>
                    <w:rPr>
                      <w:rFonts w:hint="default"/>
                      <w:color w:val="auto"/>
                      <w:szCs w:val="21"/>
                      <w:highlight w:val="none"/>
                      <w:vertAlign w:val="superscript"/>
                      <w:lang w:val="en-US" w:eastAsia="zh-CN"/>
                    </w:rPr>
                    <w:t>3</w:t>
                  </w:r>
                  <w:r>
                    <w:rPr>
                      <w:rFonts w:hint="default"/>
                      <w:color w:val="auto"/>
                      <w:szCs w:val="21"/>
                      <w:highlight w:val="none"/>
                      <w:lang w:val="en-US" w:eastAsia="zh-CN"/>
                    </w:rPr>
                    <w:t>/h</w:t>
                  </w:r>
                </w:p>
              </w:tc>
              <w:tc>
                <w:tcPr>
                  <w:tcW w:w="450"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454" w:type="pct"/>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Merge w:val="continue"/>
                  <w:vAlign w:val="center"/>
                </w:tcPr>
                <w:p>
                  <w:pPr>
                    <w:keepNext w:val="0"/>
                    <w:keepLines w:val="0"/>
                    <w:pageBreakBefore w:val="0"/>
                    <w:widowControl/>
                    <w:kinsoku/>
                    <w:wordWrap/>
                    <w:overflowPunct/>
                    <w:topLinePunct w:val="0"/>
                    <w:bidi w:val="0"/>
                    <w:snapToGrid w:val="0"/>
                    <w:spacing w:line="240" w:lineRule="auto"/>
                    <w:jc w:val="center"/>
                    <w:rPr>
                      <w:rFonts w:hint="default" w:cs="Times New Roman"/>
                      <w:color w:val="auto"/>
                      <w:kern w:val="0"/>
                      <w:sz w:val="21"/>
                      <w:szCs w:val="21"/>
                      <w:highlight w:val="none"/>
                      <w:lang w:val="en-US" w:eastAsia="zh-CN" w:bidi="ar-SA"/>
                    </w:rPr>
                  </w:pPr>
                </w:p>
              </w:tc>
              <w:tc>
                <w:tcPr>
                  <w:tcW w:w="1567"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新风系统</w:t>
                  </w:r>
                </w:p>
              </w:tc>
              <w:tc>
                <w:tcPr>
                  <w:tcW w:w="1866" w:type="pct"/>
                  <w:vAlign w:val="center"/>
                </w:tcPr>
                <w:p>
                  <w:pPr>
                    <w:keepNext w:val="0"/>
                    <w:keepLines w:val="0"/>
                    <w:pageBreakBefore w:val="0"/>
                    <w:kinsoku/>
                    <w:wordWrap/>
                    <w:overflowPunct/>
                    <w:topLinePunct w:val="0"/>
                    <w:bidi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w:t>
                  </w:r>
                </w:p>
              </w:tc>
              <w:tc>
                <w:tcPr>
                  <w:tcW w:w="450"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454" w:type="pct"/>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4、公用工程</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（1）</w:t>
            </w:r>
            <w:r>
              <w:rPr>
                <w:rFonts w:hint="eastAsia" w:cs="Times New Roman"/>
                <w:b/>
                <w:bCs/>
                <w:color w:val="auto"/>
                <w:sz w:val="24"/>
                <w:szCs w:val="36"/>
                <w:highlight w:val="none"/>
                <w:vertAlign w:val="baseline"/>
                <w:lang w:val="en-US" w:eastAsia="zh-CN"/>
              </w:rPr>
              <w:t>动力提供</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bCs/>
                <w:color w:val="auto"/>
                <w:sz w:val="24"/>
                <w:szCs w:val="36"/>
                <w:highlight w:val="none"/>
                <w:vertAlign w:val="baseline"/>
                <w:lang w:val="en-US" w:eastAsia="zh-CN"/>
              </w:rPr>
            </w:pPr>
            <w:r>
              <w:rPr>
                <w:rFonts w:hint="default" w:ascii="Times New Roman" w:hAnsi="Times New Roman" w:cs="Times New Roman"/>
                <w:bCs/>
                <w:color w:val="auto"/>
                <w:sz w:val="24"/>
                <w:highlight w:val="none"/>
                <w:lang w:val="zh-CN"/>
              </w:rPr>
              <w:t>本项目用电由</w:t>
            </w:r>
            <w:r>
              <w:rPr>
                <w:rFonts w:hint="eastAsia" w:cs="Times New Roman"/>
                <w:bCs/>
                <w:color w:val="auto"/>
                <w:sz w:val="24"/>
                <w:highlight w:val="none"/>
                <w:lang w:val="en-US" w:eastAsia="zh-CN"/>
              </w:rPr>
              <w:t>市政</w:t>
            </w:r>
            <w:r>
              <w:rPr>
                <w:rFonts w:hint="default" w:ascii="Times New Roman" w:hAnsi="Times New Roman" w:cs="Times New Roman"/>
                <w:bCs/>
                <w:color w:val="auto"/>
                <w:sz w:val="24"/>
                <w:highlight w:val="none"/>
                <w:lang w:val="zh-CN"/>
              </w:rPr>
              <w:t>电网提供，</w:t>
            </w:r>
            <w:r>
              <w:rPr>
                <w:rFonts w:hint="eastAsia" w:cs="Times New Roman"/>
                <w:bCs/>
                <w:color w:val="auto"/>
                <w:sz w:val="24"/>
                <w:highlight w:val="none"/>
                <w:lang w:val="en-US" w:eastAsia="zh-CN"/>
              </w:rPr>
              <w:t>项目采用双回路供电系统，</w:t>
            </w:r>
            <w:r>
              <w:rPr>
                <w:rFonts w:hint="default" w:ascii="Times New Roman" w:hAnsi="Times New Roman" w:cs="Times New Roman"/>
                <w:bCs/>
                <w:color w:val="auto"/>
                <w:sz w:val="24"/>
                <w:highlight w:val="none"/>
                <w:lang w:val="zh-CN"/>
              </w:rPr>
              <w:t>供电能够满足项目用电负荷。</w:t>
            </w:r>
            <w:r>
              <w:rPr>
                <w:rFonts w:hint="default" w:ascii="Times New Roman" w:hAnsi="Times New Roman" w:cs="Times New Roman"/>
                <w:bCs/>
                <w:color w:val="auto"/>
                <w:sz w:val="24"/>
                <w:highlight w:val="none"/>
              </w:rPr>
              <w:t>同时设置备用柴油发电机组，做应急电源。</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（2）给排水</w:t>
            </w:r>
          </w:p>
          <w:p>
            <w:pPr>
              <w:keepNext w:val="0"/>
              <w:keepLines w:val="0"/>
              <w:pageBreakBefore w:val="0"/>
              <w:kinsoku/>
              <w:wordWrap/>
              <w:overflowPunct/>
              <w:topLinePunct w:val="0"/>
              <w:bidi w:val="0"/>
              <w:spacing w:line="360" w:lineRule="auto"/>
              <w:ind w:left="0" w:leftChars="0" w:right="0" w:firstLine="48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①给水</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cs="Times New Roman"/>
                <w:b w:val="0"/>
                <w:bCs w:val="0"/>
                <w:color w:val="auto"/>
                <w:sz w:val="24"/>
                <w:szCs w:val="36"/>
                <w:highlight w:val="none"/>
                <w:vertAlign w:val="baseline"/>
                <w:lang w:val="en-US" w:eastAsia="zh-CN"/>
              </w:rPr>
              <w:t>本项目用水来源于市政自来水管网，项目</w:t>
            </w:r>
            <w:r>
              <w:rPr>
                <w:rFonts w:hint="eastAsia" w:ascii="Times New Roman" w:hAnsi="Times New Roman" w:eastAsia="宋体" w:cs="Times New Roman"/>
                <w:b w:val="0"/>
                <w:bCs w:val="0"/>
                <w:color w:val="auto"/>
                <w:sz w:val="24"/>
                <w:szCs w:val="36"/>
                <w:highlight w:val="none"/>
                <w:vertAlign w:val="baseline"/>
                <w:lang w:val="en-US" w:eastAsia="zh-CN"/>
              </w:rPr>
              <w:t>主要</w:t>
            </w:r>
            <w:r>
              <w:rPr>
                <w:rFonts w:hint="eastAsia" w:cs="Times New Roman"/>
                <w:b w:val="0"/>
                <w:bCs w:val="0"/>
                <w:color w:val="auto"/>
                <w:sz w:val="24"/>
                <w:szCs w:val="36"/>
                <w:highlight w:val="none"/>
                <w:vertAlign w:val="baseline"/>
                <w:lang w:val="en-US" w:eastAsia="zh-CN"/>
              </w:rPr>
              <w:t>用水为</w:t>
            </w:r>
            <w:r>
              <w:rPr>
                <w:rFonts w:hint="eastAsia" w:ascii="Times New Roman" w:hAnsi="Times New Roman" w:eastAsia="宋体" w:cs="Times New Roman"/>
                <w:b w:val="0"/>
                <w:bCs w:val="0"/>
                <w:color w:val="auto"/>
                <w:sz w:val="24"/>
                <w:szCs w:val="36"/>
                <w:highlight w:val="none"/>
                <w:vertAlign w:val="baseline"/>
                <w:lang w:val="en-US" w:eastAsia="zh-CN"/>
              </w:rPr>
              <w:t>医疗用水、生活用水和其他用水。</w:t>
            </w:r>
            <w:r>
              <w:rPr>
                <w:b/>
                <w:color w:val="auto"/>
                <w:sz w:val="24"/>
                <w:highlight w:val="none"/>
              </w:rPr>
              <w:t>项目内不设置浆洗中心，病人和医务人员外衣、床单等委外清洗杀菌后回院使用。</w:t>
            </w:r>
            <w:r>
              <w:rPr>
                <w:rFonts w:hint="eastAsia" w:ascii="Times New Roman" w:hAnsi="Times New Roman" w:eastAsia="宋体" w:cs="Times New Roman"/>
                <w:b w:val="0"/>
                <w:bCs w:val="0"/>
                <w:color w:val="auto"/>
                <w:sz w:val="24"/>
                <w:szCs w:val="36"/>
                <w:highlight w:val="none"/>
                <w:vertAlign w:val="baseline"/>
                <w:lang w:val="en-US" w:eastAsia="zh-CN"/>
              </w:rPr>
              <w:t>本项目用水量参考《综合医院建筑设计规范》（GB513019-2014）</w:t>
            </w:r>
            <w:r>
              <w:rPr>
                <w:rFonts w:hint="eastAsia" w:cs="Times New Roman"/>
                <w:b w:val="0"/>
                <w:bCs w:val="0"/>
                <w:color w:val="auto"/>
                <w:sz w:val="24"/>
                <w:szCs w:val="36"/>
                <w:highlight w:val="none"/>
                <w:vertAlign w:val="baseline"/>
                <w:lang w:val="en-US" w:eastAsia="zh-CN"/>
              </w:rPr>
              <w:t>、《四川省用水定额》（川府函〔2021〕8号）</w:t>
            </w:r>
            <w:r>
              <w:rPr>
                <w:rFonts w:hint="eastAsia" w:ascii="Times New Roman" w:hAnsi="Times New Roman" w:eastAsia="宋体" w:cs="Times New Roman"/>
                <w:b w:val="0"/>
                <w:bCs w:val="0"/>
                <w:color w:val="auto"/>
                <w:sz w:val="24"/>
                <w:szCs w:val="36"/>
                <w:highlight w:val="none"/>
                <w:vertAlign w:val="baseline"/>
                <w:lang w:val="en-US" w:eastAsia="zh-CN"/>
              </w:rPr>
              <w:t>确定</w:t>
            </w:r>
            <w:r>
              <w:rPr>
                <w:bCs/>
                <w:color w:val="auto"/>
                <w:sz w:val="24"/>
                <w:highlight w:val="none"/>
              </w:rPr>
              <w:t>，具体的用水情况见下表所示</w:t>
            </w:r>
            <w:r>
              <w:rPr>
                <w:rFonts w:hint="eastAsia" w:ascii="Times New Roman" w:hAnsi="Times New Roman" w:eastAsia="宋体" w:cs="Times New Roman"/>
                <w:b w:val="0"/>
                <w:bCs w:val="0"/>
                <w:color w:val="auto"/>
                <w:sz w:val="24"/>
                <w:szCs w:val="36"/>
                <w:highlight w:val="none"/>
                <w:vertAlign w:val="baseline"/>
                <w:lang w:val="en-US" w:eastAsia="zh-CN"/>
              </w:rPr>
              <w:t>。</w:t>
            </w:r>
          </w:p>
          <w:p>
            <w:pPr>
              <w:snapToGrid w:val="0"/>
              <w:ind w:firstLine="482"/>
              <w:jc w:val="center"/>
              <w:rPr>
                <w:color w:val="auto"/>
                <w:sz w:val="24"/>
                <w:highlight w:val="none"/>
              </w:rPr>
            </w:pPr>
            <w:r>
              <w:rPr>
                <w:rFonts w:eastAsia="黑体"/>
                <w:color w:val="auto"/>
                <w:szCs w:val="21"/>
                <w:highlight w:val="none"/>
              </w:rPr>
              <w:t>表2-5  本项目新鲜水用水量及分配情况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215"/>
              <w:gridCol w:w="1536"/>
              <w:gridCol w:w="2178"/>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63" w:type="pct"/>
                  <w:gridSpan w:val="2"/>
                  <w:noWrap w:val="0"/>
                  <w:vAlign w:val="center"/>
                </w:tcPr>
                <w:p>
                  <w:pPr>
                    <w:pStyle w:val="30"/>
                    <w:rPr>
                      <w:rFonts w:cs="Times New Roman"/>
                      <w:bCs/>
                      <w:color w:val="auto"/>
                      <w:szCs w:val="21"/>
                      <w:highlight w:val="none"/>
                    </w:rPr>
                  </w:pPr>
                  <w:r>
                    <w:rPr>
                      <w:rFonts w:cs="Times New Roman"/>
                      <w:color w:val="auto"/>
                      <w:szCs w:val="21"/>
                      <w:highlight w:val="none"/>
                    </w:rPr>
                    <w:t>用水对象</w:t>
                  </w:r>
                </w:p>
              </w:tc>
              <w:tc>
                <w:tcPr>
                  <w:tcW w:w="848" w:type="pct"/>
                  <w:noWrap w:val="0"/>
                  <w:vAlign w:val="center"/>
                </w:tcPr>
                <w:p>
                  <w:pPr>
                    <w:pStyle w:val="30"/>
                    <w:rPr>
                      <w:rFonts w:cs="Times New Roman"/>
                      <w:color w:val="auto"/>
                      <w:szCs w:val="21"/>
                      <w:highlight w:val="none"/>
                    </w:rPr>
                  </w:pPr>
                  <w:r>
                    <w:rPr>
                      <w:rFonts w:cs="Times New Roman"/>
                      <w:color w:val="auto"/>
                      <w:szCs w:val="21"/>
                      <w:highlight w:val="none"/>
                    </w:rPr>
                    <w:t>日最大容量</w:t>
                  </w:r>
                </w:p>
              </w:tc>
              <w:tc>
                <w:tcPr>
                  <w:tcW w:w="1202" w:type="pct"/>
                  <w:noWrap w:val="0"/>
                  <w:vAlign w:val="center"/>
                </w:tcPr>
                <w:p>
                  <w:pPr>
                    <w:pStyle w:val="30"/>
                    <w:rPr>
                      <w:rFonts w:cs="Times New Roman"/>
                      <w:color w:val="auto"/>
                      <w:szCs w:val="21"/>
                      <w:highlight w:val="none"/>
                    </w:rPr>
                  </w:pPr>
                  <w:r>
                    <w:rPr>
                      <w:rFonts w:cs="Times New Roman"/>
                      <w:color w:val="auto"/>
                      <w:szCs w:val="21"/>
                      <w:highlight w:val="none"/>
                    </w:rPr>
                    <w:t>用水标准</w:t>
                  </w:r>
                </w:p>
              </w:tc>
              <w:tc>
                <w:tcPr>
                  <w:tcW w:w="1085" w:type="pct"/>
                  <w:noWrap w:val="0"/>
                  <w:vAlign w:val="center"/>
                </w:tcPr>
                <w:p>
                  <w:pPr>
                    <w:pStyle w:val="30"/>
                    <w:rPr>
                      <w:rFonts w:cs="Times New Roman"/>
                      <w:color w:val="auto"/>
                      <w:szCs w:val="21"/>
                      <w:highlight w:val="none"/>
                    </w:rPr>
                  </w:pPr>
                  <w:r>
                    <w:rPr>
                      <w:rFonts w:cs="Times New Roman"/>
                      <w:color w:val="auto"/>
                      <w:szCs w:val="21"/>
                      <w:highlight w:val="none"/>
                    </w:rPr>
                    <w:t>最大用水量（m</w:t>
                  </w:r>
                  <w:r>
                    <w:rPr>
                      <w:rFonts w:cs="Times New Roman"/>
                      <w:color w:val="auto"/>
                      <w:szCs w:val="21"/>
                      <w:highlight w:val="none"/>
                      <w:vertAlign w:val="superscript"/>
                    </w:rPr>
                    <w:t>3</w:t>
                  </w:r>
                  <w:r>
                    <w:rPr>
                      <w:rFonts w:cs="Times New Roman"/>
                      <w:color w:val="auto"/>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restart"/>
                  <w:noWrap w:val="0"/>
                  <w:vAlign w:val="center"/>
                </w:tcPr>
                <w:p>
                  <w:pPr>
                    <w:adjustRightInd w:val="0"/>
                    <w:snapToGrid w:val="0"/>
                    <w:jc w:val="center"/>
                    <w:rPr>
                      <w:color w:val="auto"/>
                      <w:szCs w:val="21"/>
                      <w:highlight w:val="none"/>
                    </w:rPr>
                  </w:pPr>
                  <w:r>
                    <w:rPr>
                      <w:color w:val="auto"/>
                      <w:szCs w:val="21"/>
                      <w:highlight w:val="none"/>
                    </w:rPr>
                    <w:t>医疗用水</w:t>
                  </w:r>
                </w:p>
              </w:tc>
              <w:tc>
                <w:tcPr>
                  <w:tcW w:w="122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住院病人</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床</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200L/</w:t>
                  </w:r>
                  <w:r>
                    <w:rPr>
                      <w:rFonts w:hint="eastAsia" w:ascii="宋体" w:hAnsi="宋体" w:eastAsia="宋体" w:cs="宋体"/>
                      <w:i w:val="0"/>
                      <w:iCs w:val="0"/>
                      <w:color w:val="auto"/>
                      <w:kern w:val="0"/>
                      <w:sz w:val="21"/>
                      <w:szCs w:val="21"/>
                      <w:highlight w:val="none"/>
                      <w:u w:val="none"/>
                      <w:lang w:val="en-US" w:eastAsia="zh-CN" w:bidi="ar"/>
                    </w:rPr>
                    <w:t>（床</w:t>
                  </w:r>
                  <w:r>
                    <w:rPr>
                      <w:rFonts w:hint="default" w:ascii="Times New Roman" w:hAnsi="Times New Roman" w:eastAsia="宋体" w:cs="Times New Roman"/>
                      <w:i w:val="0"/>
                      <w:iCs w:val="0"/>
                      <w:color w:val="auto"/>
                      <w:kern w:val="0"/>
                      <w:sz w:val="21"/>
                      <w:szCs w:val="21"/>
                      <w:highlight w:val="none"/>
                      <w:u w:val="none"/>
                      <w:lang w:val="en-US" w:eastAsia="zh-CN" w:bidi="ar"/>
                    </w:rPr>
                    <w:t>·d</w:t>
                  </w:r>
                  <w:r>
                    <w:rPr>
                      <w:rFonts w:hint="eastAsia" w:ascii="宋体" w:hAnsi="宋体" w:eastAsia="宋体" w:cs="宋体"/>
                      <w:i w:val="0"/>
                      <w:iCs w:val="0"/>
                      <w:color w:val="auto"/>
                      <w:kern w:val="0"/>
                      <w:sz w:val="21"/>
                      <w:szCs w:val="21"/>
                      <w:highlight w:val="none"/>
                      <w:u w:val="none"/>
                      <w:lang w:val="en-US" w:eastAsia="zh-CN" w:bidi="ar"/>
                    </w:rPr>
                    <w:t>）</w:t>
                  </w:r>
                </w:p>
              </w:tc>
              <w:tc>
                <w:tcPr>
                  <w:tcW w:w="1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continue"/>
                  <w:noWrap w:val="0"/>
                  <w:vAlign w:val="center"/>
                </w:tcPr>
                <w:p>
                  <w:pPr>
                    <w:adjustRightInd w:val="0"/>
                    <w:snapToGrid w:val="0"/>
                    <w:jc w:val="center"/>
                    <w:rPr>
                      <w:color w:val="auto"/>
                      <w:szCs w:val="21"/>
                      <w:highlight w:val="none"/>
                    </w:rPr>
                  </w:pPr>
                </w:p>
              </w:tc>
              <w:tc>
                <w:tcPr>
                  <w:tcW w:w="122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门诊病人</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r>
                    <w:rPr>
                      <w:rFonts w:hint="eastAsia" w:ascii="宋体" w:hAnsi="宋体" w:eastAsia="宋体" w:cs="宋体"/>
                      <w:i w:val="0"/>
                      <w:iCs w:val="0"/>
                      <w:color w:val="auto"/>
                      <w:kern w:val="0"/>
                      <w:sz w:val="21"/>
                      <w:szCs w:val="21"/>
                      <w:highlight w:val="none"/>
                      <w:u w:val="none"/>
                      <w:lang w:val="en-US" w:eastAsia="zh-CN" w:bidi="ar"/>
                    </w:rPr>
                    <w:t>人</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次</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L/</w:t>
                  </w:r>
                  <w:r>
                    <w:rPr>
                      <w:rFonts w:hint="eastAsia" w:ascii="宋体" w:hAnsi="宋体" w:eastAsia="宋体" w:cs="宋体"/>
                      <w:i w:val="0"/>
                      <w:iCs w:val="0"/>
                      <w:color w:val="auto"/>
                      <w:kern w:val="0"/>
                      <w:sz w:val="21"/>
                      <w:szCs w:val="21"/>
                      <w:highlight w:val="none"/>
                      <w:u w:val="none"/>
                      <w:lang w:val="en-US" w:eastAsia="zh-CN" w:bidi="ar"/>
                    </w:rPr>
                    <w:t>（人</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次）</w:t>
                  </w:r>
                </w:p>
              </w:tc>
              <w:tc>
                <w:tcPr>
                  <w:tcW w:w="1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continue"/>
                  <w:noWrap w:val="0"/>
                  <w:vAlign w:val="center"/>
                </w:tcPr>
                <w:p>
                  <w:pPr>
                    <w:adjustRightInd w:val="0"/>
                    <w:snapToGrid w:val="0"/>
                    <w:jc w:val="center"/>
                    <w:rPr>
                      <w:color w:val="auto"/>
                      <w:szCs w:val="21"/>
                      <w:highlight w:val="none"/>
                    </w:rPr>
                  </w:pPr>
                </w:p>
              </w:tc>
              <w:tc>
                <w:tcPr>
                  <w:tcW w:w="122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血透用水</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10h</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3000L/h</w:t>
                  </w:r>
                </w:p>
              </w:tc>
              <w:tc>
                <w:tcPr>
                  <w:tcW w:w="1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continue"/>
                  <w:noWrap w:val="0"/>
                  <w:vAlign w:val="center"/>
                </w:tcPr>
                <w:p>
                  <w:pPr>
                    <w:adjustRightInd w:val="0"/>
                    <w:snapToGrid w:val="0"/>
                    <w:jc w:val="center"/>
                    <w:rPr>
                      <w:color w:val="auto"/>
                      <w:szCs w:val="21"/>
                      <w:highlight w:val="none"/>
                    </w:rPr>
                  </w:pPr>
                </w:p>
              </w:tc>
              <w:tc>
                <w:tcPr>
                  <w:tcW w:w="122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检验用水</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97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restart"/>
                  <w:noWrap w:val="0"/>
                  <w:vAlign w:val="center"/>
                </w:tcPr>
                <w:p>
                  <w:pPr>
                    <w:adjustRightInd w:val="0"/>
                    <w:snapToGrid w:val="0"/>
                    <w:jc w:val="center"/>
                    <w:rPr>
                      <w:color w:val="auto"/>
                      <w:szCs w:val="21"/>
                      <w:highlight w:val="none"/>
                    </w:rPr>
                  </w:pPr>
                  <w:r>
                    <w:rPr>
                      <w:color w:val="auto"/>
                      <w:szCs w:val="21"/>
                      <w:highlight w:val="none"/>
                    </w:rPr>
                    <w:t>生活用水</w:t>
                  </w:r>
                </w:p>
              </w:tc>
              <w:tc>
                <w:tcPr>
                  <w:tcW w:w="122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医务人员用水</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15</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人</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0L/</w:t>
                  </w:r>
                  <w:r>
                    <w:rPr>
                      <w:rFonts w:hint="eastAsia" w:ascii="宋体" w:hAnsi="宋体" w:eastAsia="宋体" w:cs="宋体"/>
                      <w:i w:val="0"/>
                      <w:iCs w:val="0"/>
                      <w:color w:val="auto"/>
                      <w:kern w:val="0"/>
                      <w:sz w:val="21"/>
                      <w:szCs w:val="21"/>
                      <w:highlight w:val="none"/>
                      <w:u w:val="none"/>
                      <w:lang w:val="en-US" w:eastAsia="zh-CN" w:bidi="ar"/>
                    </w:rPr>
                    <w:t>人</w:t>
                  </w:r>
                  <w:r>
                    <w:rPr>
                      <w:rFonts w:hint="default" w:ascii="Times New Roman" w:hAnsi="Times New Roman" w:eastAsia="宋体" w:cs="Times New Roman"/>
                      <w:i w:val="0"/>
                      <w:iCs w:val="0"/>
                      <w:color w:val="auto"/>
                      <w:kern w:val="0"/>
                      <w:sz w:val="21"/>
                      <w:szCs w:val="21"/>
                      <w:highlight w:val="none"/>
                      <w:u w:val="none"/>
                      <w:lang w:val="en-US" w:eastAsia="zh-CN" w:bidi="ar"/>
                    </w:rPr>
                    <w:t>·d</w:t>
                  </w:r>
                </w:p>
              </w:tc>
              <w:tc>
                <w:tcPr>
                  <w:tcW w:w="1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continue"/>
                  <w:noWrap w:val="0"/>
                  <w:vAlign w:val="center"/>
                </w:tcPr>
                <w:p>
                  <w:pPr>
                    <w:adjustRightInd w:val="0"/>
                    <w:snapToGrid w:val="0"/>
                    <w:jc w:val="center"/>
                    <w:rPr>
                      <w:color w:val="auto"/>
                      <w:szCs w:val="21"/>
                      <w:highlight w:val="none"/>
                    </w:rPr>
                  </w:pPr>
                </w:p>
              </w:tc>
              <w:tc>
                <w:tcPr>
                  <w:tcW w:w="122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陪护人员用水</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人</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100L/</w:t>
                  </w:r>
                  <w:r>
                    <w:rPr>
                      <w:rFonts w:hint="eastAsia" w:ascii="宋体" w:hAnsi="宋体" w:eastAsia="宋体" w:cs="宋体"/>
                      <w:i w:val="0"/>
                      <w:iCs w:val="0"/>
                      <w:color w:val="auto"/>
                      <w:kern w:val="0"/>
                      <w:sz w:val="21"/>
                      <w:szCs w:val="21"/>
                      <w:highlight w:val="none"/>
                      <w:u w:val="none"/>
                      <w:lang w:val="en-US" w:eastAsia="zh-CN" w:bidi="ar"/>
                    </w:rPr>
                    <w:t>人</w:t>
                  </w:r>
                  <w:r>
                    <w:rPr>
                      <w:rFonts w:hint="default" w:ascii="Times New Roman" w:hAnsi="Times New Roman" w:eastAsia="宋体" w:cs="Times New Roman"/>
                      <w:i w:val="0"/>
                      <w:iCs w:val="0"/>
                      <w:color w:val="auto"/>
                      <w:kern w:val="0"/>
                      <w:sz w:val="21"/>
                      <w:szCs w:val="21"/>
                      <w:highlight w:val="none"/>
                      <w:u w:val="none"/>
                      <w:lang w:val="en-US" w:eastAsia="zh-CN" w:bidi="ar"/>
                    </w:rPr>
                    <w:t>·d</w:t>
                  </w:r>
                </w:p>
              </w:tc>
              <w:tc>
                <w:tcPr>
                  <w:tcW w:w="197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16"/>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continue"/>
                  <w:noWrap w:val="0"/>
                  <w:vAlign w:val="center"/>
                </w:tcPr>
                <w:p>
                  <w:pPr>
                    <w:adjustRightInd w:val="0"/>
                    <w:snapToGrid w:val="0"/>
                    <w:jc w:val="center"/>
                    <w:rPr>
                      <w:color w:val="auto"/>
                      <w:szCs w:val="21"/>
                      <w:highlight w:val="none"/>
                    </w:rPr>
                  </w:pPr>
                </w:p>
              </w:tc>
              <w:tc>
                <w:tcPr>
                  <w:tcW w:w="1222"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食堂用水</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人</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20L/</w:t>
                  </w:r>
                  <w:r>
                    <w:rPr>
                      <w:rFonts w:hint="eastAsia" w:ascii="宋体" w:hAnsi="宋体" w:eastAsia="宋体" w:cs="宋体"/>
                      <w:i w:val="0"/>
                      <w:iCs w:val="0"/>
                      <w:color w:val="auto"/>
                      <w:kern w:val="0"/>
                      <w:sz w:val="21"/>
                      <w:szCs w:val="21"/>
                      <w:highlight w:val="none"/>
                      <w:u w:val="none"/>
                      <w:lang w:val="en-US" w:eastAsia="zh-CN" w:bidi="ar"/>
                    </w:rPr>
                    <w:t>人</w:t>
                  </w:r>
                  <w:r>
                    <w:rPr>
                      <w:rFonts w:hint="default" w:ascii="Times New Roman" w:hAnsi="Times New Roman" w:eastAsia="宋体" w:cs="Times New Roman"/>
                      <w:i w:val="0"/>
                      <w:iCs w:val="0"/>
                      <w:color w:val="auto"/>
                      <w:kern w:val="0"/>
                      <w:sz w:val="21"/>
                      <w:szCs w:val="21"/>
                      <w:highlight w:val="none"/>
                      <w:u w:val="none"/>
                      <w:lang w:val="en-US" w:eastAsia="zh-CN" w:bidi="ar"/>
                    </w:rPr>
                    <w:t>·d</w:t>
                  </w:r>
                </w:p>
              </w:tc>
              <w:tc>
                <w:tcPr>
                  <w:tcW w:w="1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noWrap w:val="0"/>
                  <w:vAlign w:val="center"/>
                </w:tcPr>
                <w:p>
                  <w:pPr>
                    <w:adjustRightInd w:val="0"/>
                    <w:snapToGrid w:val="0"/>
                    <w:jc w:val="center"/>
                    <w:rPr>
                      <w:color w:val="auto"/>
                      <w:szCs w:val="21"/>
                      <w:highlight w:val="none"/>
                    </w:rPr>
                  </w:pPr>
                  <w:r>
                    <w:rPr>
                      <w:color w:val="auto"/>
                      <w:szCs w:val="21"/>
                      <w:highlight w:val="none"/>
                    </w:rPr>
                    <w:t>其他用水</w:t>
                  </w:r>
                </w:p>
              </w:tc>
              <w:tc>
                <w:tcPr>
                  <w:tcW w:w="1222" w:type="pct"/>
                  <w:noWrap w:val="0"/>
                  <w:vAlign w:val="center"/>
                </w:tcPr>
                <w:p>
                  <w:pPr>
                    <w:pStyle w:val="12"/>
                    <w:keepNext w:val="0"/>
                    <w:keepLines w:val="0"/>
                    <w:pageBreakBefore w:val="0"/>
                    <w:kinsoku/>
                    <w:wordWrap/>
                    <w:overflowPunct/>
                    <w:topLinePunct w:val="0"/>
                    <w:bidi w:val="0"/>
                    <w:adjustRightInd w:val="0"/>
                    <w:snapToGrid w:val="0"/>
                    <w:spacing w:line="240" w:lineRule="auto"/>
                    <w:jc w:val="center"/>
                    <w:rPr>
                      <w:rFonts w:hint="eastAsia" w:ascii="宋体" w:hAnsi="Courier New" w:eastAsia="宋体" w:cs="Times New Roman"/>
                      <w:color w:val="auto"/>
                      <w:kern w:val="16"/>
                      <w:sz w:val="21"/>
                      <w:szCs w:val="21"/>
                      <w:highlight w:val="none"/>
                      <w:vertAlign w:val="superscript"/>
                      <w:lang w:val="en-US" w:eastAsia="zh-CN" w:bidi="ar-SA"/>
                    </w:rPr>
                  </w:pPr>
                  <w:r>
                    <w:rPr>
                      <w:rFonts w:hint="eastAsia" w:ascii="Times New Roman" w:hAnsi="Times New Roman"/>
                      <w:color w:val="auto"/>
                      <w:highlight w:val="none"/>
                      <w:vertAlign w:val="baseline"/>
                    </w:rPr>
                    <w:t>地面清洁用水</w:t>
                  </w:r>
                </w:p>
              </w:tc>
              <w:tc>
                <w:tcPr>
                  <w:tcW w:w="848"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11250m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1202" w:type="pct"/>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L/m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·d</w:t>
                  </w:r>
                </w:p>
              </w:tc>
              <w:tc>
                <w:tcPr>
                  <w:tcW w:w="1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6"/>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pct"/>
                  <w:gridSpan w:val="2"/>
                  <w:noWrap w:val="0"/>
                  <w:vAlign w:val="center"/>
                </w:tcPr>
                <w:p>
                  <w:pPr>
                    <w:pStyle w:val="31"/>
                    <w:rPr>
                      <w:b/>
                      <w:bCs/>
                      <w:color w:val="auto"/>
                      <w:highlight w:val="none"/>
                    </w:rPr>
                  </w:pPr>
                  <w:r>
                    <w:rPr>
                      <w:rFonts w:eastAsia="宋体"/>
                      <w:b/>
                      <w:bCs/>
                      <w:color w:val="auto"/>
                      <w:highlight w:val="none"/>
                    </w:rPr>
                    <w:t>合计</w:t>
                  </w:r>
                </w:p>
              </w:tc>
              <w:tc>
                <w:tcPr>
                  <w:tcW w:w="3136" w:type="pct"/>
                  <w:gridSpan w:val="3"/>
                  <w:noWrap w:val="0"/>
                  <w:vAlign w:val="center"/>
                </w:tcPr>
                <w:p>
                  <w:pPr>
                    <w:pStyle w:val="31"/>
                    <w:rPr>
                      <w:b/>
                      <w:color w:val="auto"/>
                      <w:highlight w:val="none"/>
                    </w:rPr>
                  </w:pPr>
                  <w:r>
                    <w:rPr>
                      <w:rFonts w:hint="eastAsia" w:eastAsia="宋体"/>
                      <w:b/>
                      <w:color w:val="auto"/>
                      <w:highlight w:val="none"/>
                      <w:lang w:val="en-US" w:eastAsia="zh-CN"/>
                    </w:rPr>
                    <w:t>100.27</w:t>
                  </w:r>
                  <w:r>
                    <w:rPr>
                      <w:b/>
                      <w:color w:val="auto"/>
                      <w:highlight w:val="none"/>
                    </w:rPr>
                    <w:t>m</w:t>
                  </w:r>
                  <w:r>
                    <w:rPr>
                      <w:b/>
                      <w:color w:val="auto"/>
                      <w:highlight w:val="none"/>
                      <w:vertAlign w:val="superscript"/>
                    </w:rPr>
                    <w:t>3</w:t>
                  </w:r>
                  <w:r>
                    <w:rPr>
                      <w:b/>
                      <w:color w:val="auto"/>
                      <w:highlight w:val="none"/>
                    </w:rPr>
                    <w:t>/d</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②排水</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val="0"/>
                <w:bCs w:val="0"/>
                <w:color w:val="auto"/>
                <w:sz w:val="24"/>
                <w:szCs w:val="36"/>
                <w:highlight w:val="none"/>
                <w:vertAlign w:val="baseline"/>
                <w:lang w:val="en-US" w:eastAsia="zh-CN"/>
              </w:rPr>
              <w:t>本项目外排废水主要包括医疗废水、生活污水、其他废水（地面清洁冲洗废水）</w:t>
            </w:r>
            <w:r>
              <w:rPr>
                <w:rFonts w:hint="eastAsia" w:cs="Times New Roman"/>
                <w:b w:val="0"/>
                <w:bCs w:val="0"/>
                <w:color w:val="auto"/>
                <w:sz w:val="24"/>
                <w:szCs w:val="36"/>
                <w:highlight w:val="none"/>
                <w:vertAlign w:val="baseline"/>
                <w:lang w:val="en-US" w:eastAsia="zh-CN"/>
              </w:rPr>
              <w:t>，</w:t>
            </w:r>
            <w:r>
              <w:rPr>
                <w:bCs/>
                <w:color w:val="auto"/>
                <w:sz w:val="24"/>
                <w:highlight w:val="none"/>
              </w:rPr>
              <w:t>各项排水预测量如下所示。</w:t>
            </w:r>
          </w:p>
          <w:p>
            <w:pPr>
              <w:snapToGrid w:val="0"/>
              <w:spacing w:line="276" w:lineRule="auto"/>
              <w:ind w:firstLine="482"/>
              <w:jc w:val="center"/>
              <w:rPr>
                <w:rFonts w:eastAsia="黑体"/>
                <w:color w:val="auto"/>
                <w:szCs w:val="21"/>
                <w:highlight w:val="none"/>
              </w:rPr>
            </w:pPr>
            <w:r>
              <w:rPr>
                <w:rFonts w:eastAsia="黑体"/>
                <w:color w:val="auto"/>
                <w:szCs w:val="21"/>
                <w:highlight w:val="none"/>
              </w:rPr>
              <w:t>表2-6  本项目排水量预测</w:t>
            </w:r>
          </w:p>
          <w:tbl>
            <w:tblPr>
              <w:tblStyle w:val="20"/>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207"/>
              <w:gridCol w:w="2276"/>
              <w:gridCol w:w="1394"/>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dxa"/>
                  <w:gridSpan w:val="2"/>
                  <w:noWrap w:val="0"/>
                  <w:vAlign w:val="center"/>
                </w:tcPr>
                <w:p>
                  <w:pPr>
                    <w:adjustRightInd w:val="0"/>
                    <w:snapToGrid w:val="0"/>
                    <w:jc w:val="center"/>
                    <w:rPr>
                      <w:b/>
                      <w:bCs w:val="0"/>
                      <w:color w:val="auto"/>
                      <w:szCs w:val="21"/>
                      <w:highlight w:val="none"/>
                    </w:rPr>
                  </w:pPr>
                  <w:r>
                    <w:rPr>
                      <w:b/>
                      <w:bCs w:val="0"/>
                      <w:color w:val="auto"/>
                      <w:szCs w:val="21"/>
                      <w:highlight w:val="none"/>
                    </w:rPr>
                    <w:t>用水对象</w:t>
                  </w:r>
                </w:p>
              </w:tc>
              <w:tc>
                <w:tcPr>
                  <w:tcW w:w="2276" w:type="dxa"/>
                  <w:noWrap w:val="0"/>
                  <w:vAlign w:val="center"/>
                </w:tcPr>
                <w:p>
                  <w:pPr>
                    <w:adjustRightInd w:val="0"/>
                    <w:snapToGrid w:val="0"/>
                    <w:jc w:val="center"/>
                    <w:rPr>
                      <w:b/>
                      <w:bCs w:val="0"/>
                      <w:color w:val="auto"/>
                      <w:szCs w:val="21"/>
                      <w:highlight w:val="none"/>
                    </w:rPr>
                  </w:pPr>
                  <w:r>
                    <w:rPr>
                      <w:b/>
                      <w:bCs w:val="0"/>
                      <w:color w:val="auto"/>
                      <w:szCs w:val="21"/>
                      <w:highlight w:val="none"/>
                    </w:rPr>
                    <w:t>最大用水量（m</w:t>
                  </w:r>
                  <w:r>
                    <w:rPr>
                      <w:b/>
                      <w:bCs w:val="0"/>
                      <w:color w:val="auto"/>
                      <w:szCs w:val="21"/>
                      <w:highlight w:val="none"/>
                      <w:vertAlign w:val="superscript"/>
                    </w:rPr>
                    <w:t>3</w:t>
                  </w:r>
                  <w:r>
                    <w:rPr>
                      <w:b/>
                      <w:bCs w:val="0"/>
                      <w:color w:val="auto"/>
                      <w:szCs w:val="21"/>
                      <w:highlight w:val="none"/>
                    </w:rPr>
                    <w:t>/d）</w:t>
                  </w:r>
                </w:p>
              </w:tc>
              <w:tc>
                <w:tcPr>
                  <w:tcW w:w="1394" w:type="dxa"/>
                  <w:noWrap w:val="0"/>
                  <w:vAlign w:val="center"/>
                </w:tcPr>
                <w:p>
                  <w:pPr>
                    <w:adjustRightInd w:val="0"/>
                    <w:snapToGrid w:val="0"/>
                    <w:jc w:val="center"/>
                    <w:rPr>
                      <w:b/>
                      <w:bCs w:val="0"/>
                      <w:color w:val="auto"/>
                      <w:szCs w:val="21"/>
                      <w:highlight w:val="none"/>
                    </w:rPr>
                  </w:pPr>
                  <w:r>
                    <w:rPr>
                      <w:b/>
                      <w:bCs w:val="0"/>
                      <w:color w:val="auto"/>
                      <w:szCs w:val="21"/>
                      <w:highlight w:val="none"/>
                    </w:rPr>
                    <w:t>排水系数</w:t>
                  </w:r>
                </w:p>
              </w:tc>
              <w:tc>
                <w:tcPr>
                  <w:tcW w:w="1986" w:type="dxa"/>
                  <w:noWrap w:val="0"/>
                  <w:vAlign w:val="center"/>
                </w:tcPr>
                <w:p>
                  <w:pPr>
                    <w:adjustRightInd w:val="0"/>
                    <w:snapToGrid w:val="0"/>
                    <w:jc w:val="center"/>
                    <w:rPr>
                      <w:b/>
                      <w:bCs w:val="0"/>
                      <w:color w:val="auto"/>
                      <w:szCs w:val="21"/>
                      <w:highlight w:val="none"/>
                    </w:rPr>
                  </w:pPr>
                  <w:r>
                    <w:rPr>
                      <w:b/>
                      <w:bCs w:val="0"/>
                      <w:color w:val="auto"/>
                      <w:szCs w:val="21"/>
                      <w:highlight w:val="none"/>
                    </w:rPr>
                    <w:t>最大排水量（m</w:t>
                  </w:r>
                  <w:r>
                    <w:rPr>
                      <w:b/>
                      <w:bCs w:val="0"/>
                      <w:color w:val="auto"/>
                      <w:szCs w:val="21"/>
                      <w:highlight w:val="none"/>
                      <w:vertAlign w:val="superscript"/>
                    </w:rPr>
                    <w:t>3</w:t>
                  </w:r>
                  <w:r>
                    <w:rPr>
                      <w:b/>
                      <w:bCs w:val="0"/>
                      <w:color w:val="auto"/>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Merge w:val="restart"/>
                  <w:noWrap w:val="0"/>
                  <w:vAlign w:val="center"/>
                </w:tcPr>
                <w:p>
                  <w:pPr>
                    <w:adjustRightInd w:val="0"/>
                    <w:snapToGrid w:val="0"/>
                    <w:jc w:val="center"/>
                    <w:rPr>
                      <w:bCs/>
                      <w:color w:val="auto"/>
                      <w:szCs w:val="21"/>
                      <w:highlight w:val="none"/>
                    </w:rPr>
                  </w:pPr>
                  <w:r>
                    <w:rPr>
                      <w:bCs/>
                      <w:color w:val="auto"/>
                      <w:szCs w:val="21"/>
                      <w:highlight w:val="none"/>
                    </w:rPr>
                    <w:t>医疗</w:t>
                  </w:r>
                  <w:r>
                    <w:rPr>
                      <w:rFonts w:hint="eastAsia"/>
                      <w:bCs/>
                      <w:color w:val="auto"/>
                      <w:szCs w:val="21"/>
                      <w:highlight w:val="none"/>
                    </w:rPr>
                    <w:t>废水</w:t>
                  </w:r>
                </w:p>
              </w:tc>
              <w:tc>
                <w:tcPr>
                  <w:tcW w:w="2207"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住院病人</w:t>
                  </w:r>
                </w:p>
              </w:tc>
              <w:tc>
                <w:tcPr>
                  <w:tcW w:w="2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21.00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1986" w:type="dxa"/>
                  <w:noWrap w:val="0"/>
                  <w:vAlign w:val="center"/>
                </w:tcPr>
                <w:p>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Merge w:val="continue"/>
                  <w:noWrap w:val="0"/>
                  <w:vAlign w:val="center"/>
                </w:tcPr>
                <w:p>
                  <w:pPr>
                    <w:adjustRightInd w:val="0"/>
                    <w:snapToGrid w:val="0"/>
                    <w:jc w:val="center"/>
                    <w:rPr>
                      <w:bCs/>
                      <w:color w:val="auto"/>
                      <w:szCs w:val="21"/>
                      <w:highlight w:val="none"/>
                    </w:rPr>
                  </w:pPr>
                </w:p>
              </w:tc>
              <w:tc>
                <w:tcPr>
                  <w:tcW w:w="2207"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门诊病人</w:t>
                  </w:r>
                </w:p>
              </w:tc>
              <w:tc>
                <w:tcPr>
                  <w:tcW w:w="2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1986" w:type="dxa"/>
                  <w:noWrap w:val="0"/>
                  <w:vAlign w:val="center"/>
                </w:tcPr>
                <w:p>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Merge w:val="continue"/>
                  <w:noWrap w:val="0"/>
                  <w:vAlign w:val="center"/>
                </w:tcPr>
                <w:p>
                  <w:pPr>
                    <w:adjustRightInd w:val="0"/>
                    <w:snapToGrid w:val="0"/>
                    <w:jc w:val="center"/>
                    <w:rPr>
                      <w:bCs/>
                      <w:color w:val="auto"/>
                      <w:szCs w:val="21"/>
                      <w:highlight w:val="none"/>
                    </w:rPr>
                  </w:pPr>
                </w:p>
              </w:tc>
              <w:tc>
                <w:tcPr>
                  <w:tcW w:w="2207"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血透用水</w:t>
                  </w:r>
                </w:p>
              </w:tc>
              <w:tc>
                <w:tcPr>
                  <w:tcW w:w="2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30.00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eastAsia" w:cs="Times New Roman"/>
                      <w:i w:val="0"/>
                      <w:iCs w:val="0"/>
                      <w:color w:val="auto"/>
                      <w:kern w:val="0"/>
                      <w:sz w:val="21"/>
                      <w:szCs w:val="21"/>
                      <w:highlight w:val="none"/>
                      <w:u w:val="none"/>
                      <w:lang w:val="en-US" w:eastAsia="zh-CN" w:bidi="ar"/>
                    </w:rPr>
                    <w:t>0.43</w:t>
                  </w:r>
                </w:p>
              </w:tc>
              <w:tc>
                <w:tcPr>
                  <w:tcW w:w="1986" w:type="dxa"/>
                  <w:noWrap w:val="0"/>
                  <w:vAlign w:val="center"/>
                </w:tcPr>
                <w:p>
                  <w:pPr>
                    <w:keepNext w:val="0"/>
                    <w:keepLines w:val="0"/>
                    <w:widowControl/>
                    <w:suppressLineNumbers w:val="0"/>
                    <w:jc w:val="center"/>
                    <w:textAlignment w:val="center"/>
                    <w:rPr>
                      <w:rFonts w:hint="default"/>
                      <w:bCs/>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Merge w:val="continue"/>
                  <w:noWrap w:val="0"/>
                  <w:vAlign w:val="center"/>
                </w:tcPr>
                <w:p>
                  <w:pPr>
                    <w:adjustRightInd w:val="0"/>
                    <w:snapToGrid w:val="0"/>
                    <w:jc w:val="center"/>
                    <w:rPr>
                      <w:bCs/>
                      <w:color w:val="auto"/>
                      <w:szCs w:val="21"/>
                      <w:highlight w:val="none"/>
                    </w:rPr>
                  </w:pPr>
                </w:p>
              </w:tc>
              <w:tc>
                <w:tcPr>
                  <w:tcW w:w="2207"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检验用水</w:t>
                  </w:r>
                </w:p>
              </w:tc>
              <w:tc>
                <w:tcPr>
                  <w:tcW w:w="227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bCs/>
                      <w:color w:val="auto"/>
                      <w:szCs w:val="21"/>
                      <w:highlight w:val="none"/>
                    </w:rPr>
                  </w:pPr>
                  <w:r>
                    <w:rPr>
                      <w:rFonts w:hint="eastAsia" w:cs="Times New Roman"/>
                      <w:i w:val="0"/>
                      <w:iCs w:val="0"/>
                      <w:color w:val="auto"/>
                      <w:kern w:val="0"/>
                      <w:sz w:val="21"/>
                      <w:szCs w:val="21"/>
                      <w:highlight w:val="none"/>
                      <w:u w:val="none"/>
                      <w:lang w:val="en-US" w:eastAsia="zh-CN" w:bidi="ar"/>
                    </w:rPr>
                    <w:t>/</w:t>
                  </w:r>
                </w:p>
              </w:tc>
              <w:tc>
                <w:tcPr>
                  <w:tcW w:w="1986"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eastAsia"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Merge w:val="restart"/>
                  <w:noWrap w:val="0"/>
                  <w:vAlign w:val="center"/>
                </w:tcPr>
                <w:p>
                  <w:pPr>
                    <w:adjustRightInd w:val="0"/>
                    <w:snapToGrid w:val="0"/>
                    <w:jc w:val="center"/>
                    <w:rPr>
                      <w:bCs/>
                      <w:color w:val="auto"/>
                      <w:szCs w:val="21"/>
                      <w:highlight w:val="none"/>
                    </w:rPr>
                  </w:pPr>
                  <w:r>
                    <w:rPr>
                      <w:bCs/>
                      <w:color w:val="auto"/>
                      <w:szCs w:val="21"/>
                      <w:highlight w:val="none"/>
                    </w:rPr>
                    <w:t>生活</w:t>
                  </w:r>
                  <w:r>
                    <w:rPr>
                      <w:rFonts w:hint="eastAsia"/>
                      <w:bCs/>
                      <w:color w:val="auto"/>
                      <w:szCs w:val="21"/>
                      <w:highlight w:val="none"/>
                    </w:rPr>
                    <w:t>废水</w:t>
                  </w:r>
                </w:p>
              </w:tc>
              <w:tc>
                <w:tcPr>
                  <w:tcW w:w="2207"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医务人员用水</w:t>
                  </w:r>
                </w:p>
              </w:tc>
              <w:tc>
                <w:tcPr>
                  <w:tcW w:w="2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30.00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1986" w:type="dxa"/>
                  <w:noWrap w:val="0"/>
                  <w:vAlign w:val="center"/>
                </w:tcPr>
                <w:p>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Merge w:val="continue"/>
                  <w:noWrap w:val="0"/>
                  <w:vAlign w:val="center"/>
                </w:tcPr>
                <w:p>
                  <w:pPr>
                    <w:adjustRightInd w:val="0"/>
                    <w:snapToGrid w:val="0"/>
                    <w:jc w:val="center"/>
                    <w:rPr>
                      <w:bCs/>
                      <w:color w:val="auto"/>
                      <w:szCs w:val="21"/>
                      <w:highlight w:val="none"/>
                    </w:rPr>
                  </w:pPr>
                </w:p>
              </w:tc>
              <w:tc>
                <w:tcPr>
                  <w:tcW w:w="2207"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陪护人员用水</w:t>
                  </w:r>
                </w:p>
              </w:tc>
              <w:tc>
                <w:tcPr>
                  <w:tcW w:w="227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16"/>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10.50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1986" w:type="dxa"/>
                  <w:noWrap w:val="0"/>
                  <w:vAlign w:val="center"/>
                </w:tcPr>
                <w:p>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vMerge w:val="continue"/>
                  <w:noWrap w:val="0"/>
                  <w:vAlign w:val="center"/>
                </w:tcPr>
                <w:p>
                  <w:pPr>
                    <w:adjustRightInd w:val="0"/>
                    <w:snapToGrid w:val="0"/>
                    <w:jc w:val="center"/>
                    <w:rPr>
                      <w:bCs/>
                      <w:color w:val="auto"/>
                      <w:szCs w:val="21"/>
                      <w:highlight w:val="none"/>
                    </w:rPr>
                  </w:pPr>
                </w:p>
              </w:tc>
              <w:tc>
                <w:tcPr>
                  <w:tcW w:w="2207" w:type="dxa"/>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食堂用水</w:t>
                  </w:r>
                </w:p>
              </w:tc>
              <w:tc>
                <w:tcPr>
                  <w:tcW w:w="2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1986" w:type="dxa"/>
                  <w:noWrap w:val="0"/>
                  <w:vAlign w:val="center"/>
                </w:tcPr>
                <w:p>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1" w:type="dxa"/>
                  <w:noWrap w:val="0"/>
                  <w:vAlign w:val="center"/>
                </w:tcPr>
                <w:p>
                  <w:pPr>
                    <w:adjustRightInd w:val="0"/>
                    <w:snapToGrid w:val="0"/>
                    <w:jc w:val="center"/>
                    <w:rPr>
                      <w:bCs/>
                      <w:color w:val="auto"/>
                      <w:szCs w:val="21"/>
                      <w:highlight w:val="none"/>
                    </w:rPr>
                  </w:pPr>
                  <w:r>
                    <w:rPr>
                      <w:bCs/>
                      <w:color w:val="auto"/>
                      <w:szCs w:val="21"/>
                      <w:highlight w:val="none"/>
                    </w:rPr>
                    <w:t>其他</w:t>
                  </w:r>
                  <w:r>
                    <w:rPr>
                      <w:rFonts w:hint="eastAsia"/>
                      <w:bCs/>
                      <w:color w:val="auto"/>
                      <w:szCs w:val="21"/>
                      <w:highlight w:val="none"/>
                    </w:rPr>
                    <w:t>废水</w:t>
                  </w:r>
                </w:p>
              </w:tc>
              <w:tc>
                <w:tcPr>
                  <w:tcW w:w="2207" w:type="dxa"/>
                  <w:noWrap w:val="0"/>
                  <w:vAlign w:val="center"/>
                </w:tcPr>
                <w:p>
                  <w:pPr>
                    <w:pStyle w:val="12"/>
                    <w:keepNext w:val="0"/>
                    <w:keepLines w:val="0"/>
                    <w:pageBreakBefore w:val="0"/>
                    <w:kinsoku/>
                    <w:wordWrap/>
                    <w:overflowPunct/>
                    <w:topLinePunct w:val="0"/>
                    <w:bidi w:val="0"/>
                    <w:adjustRightInd w:val="0"/>
                    <w:snapToGrid w:val="0"/>
                    <w:spacing w:line="240" w:lineRule="auto"/>
                    <w:jc w:val="center"/>
                    <w:rPr>
                      <w:rFonts w:hint="eastAsia" w:ascii="宋体" w:hAnsi="Courier New" w:eastAsia="宋体" w:cs="Times New Roman"/>
                      <w:color w:val="auto"/>
                      <w:kern w:val="16"/>
                      <w:sz w:val="21"/>
                      <w:szCs w:val="21"/>
                      <w:highlight w:val="none"/>
                      <w:vertAlign w:val="superscript"/>
                      <w:lang w:val="en-US" w:eastAsia="zh-CN" w:bidi="ar-SA"/>
                    </w:rPr>
                  </w:pPr>
                  <w:r>
                    <w:rPr>
                      <w:rFonts w:hint="eastAsia" w:ascii="Times New Roman" w:hAnsi="Times New Roman"/>
                      <w:color w:val="auto"/>
                      <w:highlight w:val="none"/>
                      <w:vertAlign w:val="baseline"/>
                    </w:rPr>
                    <w:t>地面清洁用水</w:t>
                  </w:r>
                </w:p>
              </w:tc>
              <w:tc>
                <w:tcPr>
                  <w:tcW w:w="2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6"/>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2.25 </w:t>
                  </w:r>
                </w:p>
              </w:tc>
              <w:tc>
                <w:tcPr>
                  <w:tcW w:w="1394"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1986" w:type="dxa"/>
                  <w:noWrap w:val="0"/>
                  <w:vAlign w:val="center"/>
                </w:tcPr>
                <w:p>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dxa"/>
                  <w:gridSpan w:val="2"/>
                  <w:noWrap w:val="0"/>
                  <w:vAlign w:val="center"/>
                </w:tcPr>
                <w:p>
                  <w:pPr>
                    <w:adjustRightInd w:val="0"/>
                    <w:snapToGrid w:val="0"/>
                    <w:jc w:val="center"/>
                    <w:rPr>
                      <w:bCs/>
                      <w:color w:val="auto"/>
                      <w:szCs w:val="21"/>
                      <w:highlight w:val="none"/>
                    </w:rPr>
                  </w:pPr>
                  <w:r>
                    <w:rPr>
                      <w:bCs/>
                      <w:color w:val="auto"/>
                      <w:szCs w:val="21"/>
                      <w:highlight w:val="none"/>
                    </w:rPr>
                    <w:t>合计</w:t>
                  </w:r>
                </w:p>
              </w:tc>
              <w:tc>
                <w:tcPr>
                  <w:tcW w:w="2276" w:type="dxa"/>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100.27</w:t>
                  </w:r>
                </w:p>
              </w:tc>
              <w:tc>
                <w:tcPr>
                  <w:tcW w:w="1394" w:type="dxa"/>
                  <w:noWrap w:val="0"/>
                  <w:vAlign w:val="center"/>
                </w:tcPr>
                <w:p>
                  <w:pPr>
                    <w:adjustRightInd w:val="0"/>
                    <w:snapToGrid w:val="0"/>
                    <w:jc w:val="center"/>
                    <w:rPr>
                      <w:bCs/>
                      <w:color w:val="auto"/>
                      <w:szCs w:val="21"/>
                      <w:highlight w:val="none"/>
                    </w:rPr>
                  </w:pPr>
                  <w:r>
                    <w:rPr>
                      <w:bCs/>
                      <w:color w:val="auto"/>
                      <w:szCs w:val="21"/>
                      <w:highlight w:val="none"/>
                    </w:rPr>
                    <w:t>/</w:t>
                  </w:r>
                </w:p>
              </w:tc>
              <w:tc>
                <w:tcPr>
                  <w:tcW w:w="1986" w:type="dxa"/>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72.72</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b w:val="0"/>
                <w:bCs w:val="0"/>
                <w:color w:val="auto"/>
                <w:sz w:val="24"/>
                <w:szCs w:val="36"/>
                <w:highlight w:val="none"/>
                <w:vertAlign w:val="baseline"/>
                <w:lang w:val="en-US" w:eastAsia="zh-CN"/>
              </w:rPr>
            </w:pPr>
            <w:r>
              <w:rPr>
                <w:rFonts w:hint="eastAsia" w:ascii="Times New Roman" w:hAnsi="Times New Roman" w:eastAsia="宋体" w:cs="Times New Roman"/>
                <w:b w:val="0"/>
                <w:bCs w:val="0"/>
                <w:color w:val="auto"/>
                <w:sz w:val="24"/>
                <w:szCs w:val="36"/>
                <w:highlight w:val="none"/>
                <w:vertAlign w:val="baseline"/>
                <w:lang w:val="en-US" w:eastAsia="zh-CN"/>
              </w:rPr>
              <w:t>综上所述，本项目</w:t>
            </w:r>
            <w:r>
              <w:rPr>
                <w:rFonts w:hint="eastAsia" w:cs="Times New Roman"/>
                <w:b w:val="0"/>
                <w:bCs w:val="0"/>
                <w:color w:val="auto"/>
                <w:sz w:val="24"/>
                <w:szCs w:val="36"/>
                <w:highlight w:val="none"/>
                <w:vertAlign w:val="baseline"/>
                <w:lang w:val="en-US" w:eastAsia="zh-CN"/>
              </w:rPr>
              <w:t>总水量为100.27</w:t>
            </w:r>
            <w:r>
              <w:rPr>
                <w:rFonts w:hint="eastAsia" w:ascii="Times New Roman" w:hAnsi="Times New Roman" w:eastAsia="宋体" w:cs="Times New Roman"/>
                <w:b w:val="0"/>
                <w:bCs w:val="0"/>
                <w:color w:val="auto"/>
                <w:sz w:val="24"/>
                <w:szCs w:val="36"/>
                <w:highlight w:val="none"/>
                <w:vertAlign w:val="baseline"/>
                <w:lang w:val="en-US" w:eastAsia="zh-CN"/>
              </w:rPr>
              <w:t>m</w:t>
            </w:r>
            <w:r>
              <w:rPr>
                <w:rFonts w:hint="eastAsia" w:ascii="Times New Roman" w:hAnsi="Times New Roman" w:eastAsia="宋体" w:cs="Times New Roman"/>
                <w:b w:val="0"/>
                <w:bCs w:val="0"/>
                <w:color w:val="auto"/>
                <w:sz w:val="24"/>
                <w:szCs w:val="36"/>
                <w:highlight w:val="none"/>
                <w:vertAlign w:val="superscript"/>
                <w:lang w:val="en-US" w:eastAsia="zh-CN"/>
              </w:rPr>
              <w:t>3</w:t>
            </w:r>
            <w:r>
              <w:rPr>
                <w:rFonts w:hint="eastAsia" w:ascii="Times New Roman" w:hAnsi="Times New Roman" w:eastAsia="宋体" w:cs="Times New Roman"/>
                <w:b w:val="0"/>
                <w:bCs w:val="0"/>
                <w:color w:val="auto"/>
                <w:sz w:val="24"/>
                <w:szCs w:val="36"/>
                <w:highlight w:val="none"/>
                <w:vertAlign w:val="baseline"/>
                <w:lang w:val="en-US" w:eastAsia="zh-CN"/>
              </w:rPr>
              <w:t>/d</w:t>
            </w:r>
            <w:r>
              <w:rPr>
                <w:rFonts w:hint="eastAsia" w:cs="Times New Roman"/>
                <w:b w:val="0"/>
                <w:bCs w:val="0"/>
                <w:color w:val="auto"/>
                <w:sz w:val="24"/>
                <w:szCs w:val="36"/>
                <w:highlight w:val="none"/>
                <w:vertAlign w:val="baseline"/>
                <w:lang w:val="en-US" w:eastAsia="zh-CN"/>
              </w:rPr>
              <w:t>（36598.55</w:t>
            </w:r>
            <w:r>
              <w:rPr>
                <w:rFonts w:hint="eastAsia" w:ascii="Times New Roman" w:hAnsi="Times New Roman" w:eastAsia="宋体" w:cs="Times New Roman"/>
                <w:b w:val="0"/>
                <w:bCs w:val="0"/>
                <w:color w:val="auto"/>
                <w:sz w:val="24"/>
                <w:szCs w:val="36"/>
                <w:highlight w:val="none"/>
                <w:vertAlign w:val="baseline"/>
                <w:lang w:val="en-US" w:eastAsia="zh-CN"/>
              </w:rPr>
              <w:t>m</w:t>
            </w:r>
            <w:r>
              <w:rPr>
                <w:rFonts w:hint="eastAsia" w:ascii="Times New Roman" w:hAnsi="Times New Roman" w:eastAsia="宋体" w:cs="Times New Roman"/>
                <w:b w:val="0"/>
                <w:bCs w:val="0"/>
                <w:color w:val="auto"/>
                <w:sz w:val="24"/>
                <w:szCs w:val="36"/>
                <w:highlight w:val="none"/>
                <w:vertAlign w:val="superscript"/>
                <w:lang w:val="en-US" w:eastAsia="zh-CN"/>
              </w:rPr>
              <w:t>3</w:t>
            </w:r>
            <w:r>
              <w:rPr>
                <w:rFonts w:hint="eastAsia" w:ascii="Times New Roman" w:hAnsi="Times New Roman" w:eastAsia="宋体" w:cs="Times New Roman"/>
                <w:b w:val="0"/>
                <w:bCs w:val="0"/>
                <w:color w:val="auto"/>
                <w:sz w:val="24"/>
                <w:szCs w:val="36"/>
                <w:highlight w:val="none"/>
                <w:vertAlign w:val="baseline"/>
                <w:lang w:val="en-US" w:eastAsia="zh-CN"/>
              </w:rPr>
              <w:t>/a</w:t>
            </w:r>
            <w:r>
              <w:rPr>
                <w:rFonts w:hint="eastAsia" w:cs="Times New Roman"/>
                <w:b w:val="0"/>
                <w:bCs w:val="0"/>
                <w:color w:val="auto"/>
                <w:sz w:val="24"/>
                <w:szCs w:val="36"/>
                <w:highlight w:val="none"/>
                <w:vertAlign w:val="baseline"/>
                <w:lang w:val="en-US" w:eastAsia="zh-CN"/>
              </w:rPr>
              <w:t>），</w:t>
            </w:r>
            <w:r>
              <w:rPr>
                <w:rFonts w:hint="eastAsia" w:ascii="Times New Roman" w:hAnsi="Times New Roman" w:eastAsia="宋体" w:cs="Times New Roman"/>
                <w:b w:val="0"/>
                <w:bCs w:val="0"/>
                <w:color w:val="auto"/>
                <w:sz w:val="24"/>
                <w:szCs w:val="36"/>
                <w:highlight w:val="none"/>
                <w:vertAlign w:val="baseline"/>
                <w:lang w:val="en-US" w:eastAsia="zh-CN"/>
              </w:rPr>
              <w:t>外排废水总量为</w:t>
            </w:r>
            <w:r>
              <w:rPr>
                <w:rFonts w:hint="eastAsia" w:cs="Times New Roman"/>
                <w:b w:val="0"/>
                <w:bCs w:val="0"/>
                <w:color w:val="auto"/>
                <w:sz w:val="24"/>
                <w:szCs w:val="36"/>
                <w:highlight w:val="none"/>
                <w:vertAlign w:val="baseline"/>
                <w:lang w:val="en-US" w:eastAsia="zh-CN"/>
              </w:rPr>
              <w:t>72.72</w:t>
            </w:r>
            <w:r>
              <w:rPr>
                <w:rFonts w:hint="eastAsia" w:ascii="Times New Roman" w:hAnsi="Times New Roman" w:eastAsia="宋体" w:cs="Times New Roman"/>
                <w:b w:val="0"/>
                <w:bCs w:val="0"/>
                <w:color w:val="auto"/>
                <w:sz w:val="24"/>
                <w:szCs w:val="36"/>
                <w:highlight w:val="none"/>
                <w:vertAlign w:val="baseline"/>
                <w:lang w:val="en-US" w:eastAsia="zh-CN"/>
              </w:rPr>
              <w:t>m</w:t>
            </w:r>
            <w:r>
              <w:rPr>
                <w:rFonts w:hint="eastAsia" w:ascii="Times New Roman" w:hAnsi="Times New Roman" w:eastAsia="宋体" w:cs="Times New Roman"/>
                <w:b w:val="0"/>
                <w:bCs w:val="0"/>
                <w:color w:val="auto"/>
                <w:sz w:val="24"/>
                <w:szCs w:val="36"/>
                <w:highlight w:val="none"/>
                <w:vertAlign w:val="superscript"/>
                <w:lang w:val="en-US" w:eastAsia="zh-CN"/>
              </w:rPr>
              <w:t>3</w:t>
            </w:r>
            <w:r>
              <w:rPr>
                <w:rFonts w:hint="eastAsia" w:ascii="Times New Roman" w:hAnsi="Times New Roman" w:eastAsia="宋体" w:cs="Times New Roman"/>
                <w:b w:val="0"/>
                <w:bCs w:val="0"/>
                <w:color w:val="auto"/>
                <w:sz w:val="24"/>
                <w:szCs w:val="36"/>
                <w:highlight w:val="none"/>
                <w:vertAlign w:val="baseline"/>
                <w:lang w:val="en-US" w:eastAsia="zh-CN"/>
              </w:rPr>
              <w:t>/d</w:t>
            </w:r>
            <w:r>
              <w:rPr>
                <w:rFonts w:hint="eastAsia" w:cs="Times New Roman"/>
                <w:b w:val="0"/>
                <w:bCs w:val="0"/>
                <w:color w:val="auto"/>
                <w:sz w:val="24"/>
                <w:szCs w:val="36"/>
                <w:highlight w:val="none"/>
                <w:vertAlign w:val="baseline"/>
                <w:lang w:val="en-US" w:eastAsia="zh-CN"/>
              </w:rPr>
              <w:t>（26542.80</w:t>
            </w:r>
            <w:r>
              <w:rPr>
                <w:rFonts w:hint="eastAsia" w:ascii="Times New Roman" w:hAnsi="Times New Roman" w:eastAsia="宋体" w:cs="Times New Roman"/>
                <w:b w:val="0"/>
                <w:bCs w:val="0"/>
                <w:color w:val="auto"/>
                <w:sz w:val="24"/>
                <w:szCs w:val="36"/>
                <w:highlight w:val="none"/>
                <w:vertAlign w:val="baseline"/>
                <w:lang w:val="en-US" w:eastAsia="zh-CN"/>
              </w:rPr>
              <w:t>m</w:t>
            </w:r>
            <w:r>
              <w:rPr>
                <w:rFonts w:hint="eastAsia" w:ascii="Times New Roman" w:hAnsi="Times New Roman" w:eastAsia="宋体" w:cs="Times New Roman"/>
                <w:b w:val="0"/>
                <w:bCs w:val="0"/>
                <w:color w:val="auto"/>
                <w:sz w:val="24"/>
                <w:szCs w:val="36"/>
                <w:highlight w:val="none"/>
                <w:vertAlign w:val="superscript"/>
                <w:lang w:val="en-US" w:eastAsia="zh-CN"/>
              </w:rPr>
              <w:t>3</w:t>
            </w:r>
            <w:r>
              <w:rPr>
                <w:rFonts w:hint="eastAsia" w:ascii="Times New Roman" w:hAnsi="Times New Roman" w:eastAsia="宋体" w:cs="Times New Roman"/>
                <w:b w:val="0"/>
                <w:bCs w:val="0"/>
                <w:color w:val="auto"/>
                <w:sz w:val="24"/>
                <w:szCs w:val="36"/>
                <w:highlight w:val="none"/>
                <w:vertAlign w:val="baseline"/>
                <w:lang w:val="en-US" w:eastAsia="zh-CN"/>
              </w:rPr>
              <w:t>/a</w:t>
            </w:r>
            <w:r>
              <w:rPr>
                <w:rFonts w:hint="eastAsia" w:cs="Times New Roman"/>
                <w:b w:val="0"/>
                <w:bCs w:val="0"/>
                <w:color w:val="auto"/>
                <w:sz w:val="24"/>
                <w:szCs w:val="36"/>
                <w:highlight w:val="none"/>
                <w:vertAlign w:val="baseline"/>
                <w:lang w:val="en-US" w:eastAsia="zh-CN"/>
              </w:rPr>
              <w:t>）</w:t>
            </w:r>
            <w:r>
              <w:rPr>
                <w:rFonts w:hint="eastAsia" w:ascii="Times New Roman" w:hAnsi="Times New Roman" w:eastAsia="宋体" w:cs="Times New Roman"/>
                <w:b w:val="0"/>
                <w:bCs w:val="0"/>
                <w:color w:val="auto"/>
                <w:sz w:val="24"/>
                <w:szCs w:val="36"/>
                <w:highlight w:val="none"/>
                <w:vertAlign w:val="baseline"/>
                <w:lang w:val="en-US" w:eastAsia="zh-CN"/>
              </w:rPr>
              <w:t>。医院检验、病理分析采用外购成品一次性专用检测试剂，检验室废液作为医疗废物（化学性废物）交由有资质单位处理</w:t>
            </w:r>
            <w:r>
              <w:rPr>
                <w:rFonts w:hint="eastAsia" w:cs="Times New Roman"/>
                <w:b w:val="0"/>
                <w:bCs w:val="0"/>
                <w:color w:val="auto"/>
                <w:sz w:val="24"/>
                <w:szCs w:val="36"/>
                <w:highlight w:val="none"/>
                <w:vertAlign w:val="baseline"/>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cs="Times New Roman"/>
                <w:b w:val="0"/>
                <w:bCs w:val="0"/>
                <w:color w:val="auto"/>
                <w:sz w:val="24"/>
                <w:szCs w:val="36"/>
                <w:highlight w:val="none"/>
                <w:vertAlign w:val="baseline"/>
                <w:lang w:val="en-US" w:eastAsia="zh-CN"/>
              </w:rPr>
              <w:t>说明：项目血透用水经血透用水水处理系统处理后达《血液透析用水标准》输送至各用水点，过程中产生浓水量为1.7m</w:t>
            </w:r>
            <w:r>
              <w:rPr>
                <w:rFonts w:hint="eastAsia" w:cs="Times New Roman"/>
                <w:b w:val="0"/>
                <w:bCs w:val="0"/>
                <w:color w:val="auto"/>
                <w:sz w:val="24"/>
                <w:szCs w:val="36"/>
                <w:highlight w:val="none"/>
                <w:vertAlign w:val="superscript"/>
                <w:lang w:val="en-US" w:eastAsia="zh-CN"/>
              </w:rPr>
              <w:t>3</w:t>
            </w:r>
            <w:r>
              <w:rPr>
                <w:rFonts w:hint="eastAsia" w:cs="Times New Roman"/>
                <w:b w:val="0"/>
                <w:bCs w:val="0"/>
                <w:color w:val="auto"/>
                <w:sz w:val="24"/>
                <w:szCs w:val="36"/>
                <w:highlight w:val="none"/>
                <w:vertAlign w:val="baseline"/>
                <w:lang w:val="en-US" w:eastAsia="zh-CN"/>
              </w:rPr>
              <w:t>/h，产生的浓水排入雨水管网。</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Times New Roman" w:hAnsi="Times New Roman" w:eastAsia="宋体"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③</w:t>
            </w:r>
            <w:r>
              <w:rPr>
                <w:rFonts w:hint="eastAsia" w:ascii="Times New Roman" w:hAnsi="Times New Roman" w:eastAsia="宋体" w:cs="Times New Roman"/>
                <w:b/>
                <w:bCs/>
                <w:color w:val="auto"/>
                <w:sz w:val="24"/>
                <w:szCs w:val="36"/>
                <w:highlight w:val="none"/>
                <w:vertAlign w:val="baseline"/>
                <w:lang w:val="en-US" w:eastAsia="zh-CN"/>
              </w:rPr>
              <w:t>水平衡图</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color w:val="auto"/>
                <w:sz w:val="24"/>
                <w:szCs w:val="36"/>
                <w:highlight w:val="none"/>
                <w:vertAlign w:val="baseline"/>
                <w:lang w:val="en-US" w:eastAsia="zh-CN"/>
              </w:rPr>
            </w:pPr>
            <w:r>
              <w:rPr>
                <w:rFonts w:hint="eastAsia" w:ascii="Times New Roman" w:hAnsi="Times New Roman" w:eastAsia="宋体" w:cs="Times New Roman"/>
                <w:b w:val="0"/>
                <w:bCs w:val="0"/>
                <w:color w:val="auto"/>
                <w:sz w:val="24"/>
                <w:szCs w:val="36"/>
                <w:highlight w:val="none"/>
                <w:vertAlign w:val="baseline"/>
                <w:lang w:val="en-US" w:eastAsia="zh-CN"/>
              </w:rPr>
              <w:t>根据用水量预测及排水分析，本项目</w:t>
            </w:r>
            <w:r>
              <w:rPr>
                <w:rFonts w:hint="eastAsia" w:cs="Times New Roman"/>
                <w:b w:val="0"/>
                <w:bCs w:val="0"/>
                <w:color w:val="auto"/>
                <w:sz w:val="24"/>
                <w:szCs w:val="36"/>
                <w:highlight w:val="none"/>
                <w:vertAlign w:val="baseline"/>
                <w:lang w:val="en-US" w:eastAsia="zh-CN"/>
              </w:rPr>
              <w:t>营运期</w:t>
            </w:r>
            <w:r>
              <w:rPr>
                <w:rFonts w:hint="eastAsia" w:ascii="Times New Roman" w:hAnsi="Times New Roman" w:eastAsia="宋体" w:cs="Times New Roman"/>
                <w:b w:val="0"/>
                <w:bCs w:val="0"/>
                <w:color w:val="auto"/>
                <w:sz w:val="24"/>
                <w:szCs w:val="36"/>
                <w:highlight w:val="none"/>
                <w:vertAlign w:val="baseline"/>
                <w:lang w:val="en-US" w:eastAsia="zh-CN"/>
              </w:rPr>
              <w:t>的水量平衡见图2-1。</w:t>
            </w: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eastAsia="黑体" w:cs="Times New Roman"/>
                <w:b/>
                <w:color w:val="auto"/>
                <w:szCs w:val="21"/>
                <w:highlight w:val="none"/>
              </w:rPr>
            </w:pPr>
            <w:r>
              <w:rPr>
                <w:rFonts w:hint="eastAsia" w:ascii="Times New Roman" w:hAnsi="Times New Roman" w:eastAsia="宋体" w:cs="Times New Roman"/>
                <w:b w:val="0"/>
                <w:bCs w:val="0"/>
                <w:color w:val="auto"/>
                <w:sz w:val="24"/>
                <w:szCs w:val="36"/>
                <w:highlight w:val="none"/>
                <w:vertAlign w:val="baseline"/>
                <w:lang w:val="en-US" w:eastAsia="zh-CN"/>
              </w:rPr>
              <w:object>
                <v:shape id="_x0000_i1025" o:spt="75" type="#_x0000_t75" style="height:456.65pt;width:455.3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r>
              <w:rPr>
                <w:rFonts w:eastAsia="黑体" w:cs="Times New Roman"/>
                <w:bCs/>
                <w:color w:val="auto"/>
                <w:szCs w:val="21"/>
                <w:highlight w:val="none"/>
              </w:rPr>
              <w:t>图2-1 本项目水量平衡图（m</w:t>
            </w:r>
            <w:r>
              <w:rPr>
                <w:rFonts w:eastAsia="黑体" w:cs="Times New Roman"/>
                <w:bCs/>
                <w:color w:val="auto"/>
                <w:szCs w:val="21"/>
                <w:highlight w:val="none"/>
                <w:vertAlign w:val="superscript"/>
              </w:rPr>
              <w:t>3</w:t>
            </w:r>
            <w:r>
              <w:rPr>
                <w:rFonts w:eastAsia="黑体" w:cs="Times New Roman"/>
                <w:bCs/>
                <w:color w:val="auto"/>
                <w:szCs w:val="21"/>
                <w:highlight w:val="none"/>
              </w:rPr>
              <w:t>/d）</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cs="Times New Roman"/>
                <w:b w:val="0"/>
                <w:bCs w:val="0"/>
                <w:color w:val="auto"/>
                <w:sz w:val="24"/>
                <w:szCs w:val="36"/>
                <w:highlight w:val="none"/>
                <w:vertAlign w:val="baseline"/>
                <w:lang w:val="en-US" w:eastAsia="zh-CN"/>
              </w:rPr>
            </w:pPr>
            <w:r>
              <w:rPr>
                <w:rFonts w:hint="eastAsia" w:ascii="Times New Roman" w:hAnsi="Times New Roman" w:eastAsia="宋体" w:cs="Times New Roman"/>
                <w:b/>
                <w:bCs/>
                <w:color w:val="auto"/>
                <w:sz w:val="24"/>
                <w:szCs w:val="36"/>
                <w:highlight w:val="none"/>
                <w:vertAlign w:val="baseline"/>
                <w:lang w:val="en-US" w:eastAsia="zh-CN"/>
              </w:rPr>
              <w:t>（3）</w:t>
            </w:r>
            <w:r>
              <w:rPr>
                <w:rFonts w:hint="eastAsia" w:cs="Times New Roman"/>
                <w:b/>
                <w:bCs/>
                <w:color w:val="auto"/>
                <w:sz w:val="24"/>
                <w:szCs w:val="36"/>
                <w:highlight w:val="none"/>
                <w:vertAlign w:val="baseline"/>
                <w:lang w:val="en-US" w:eastAsia="zh-CN"/>
              </w:rPr>
              <w:t>空调系统</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b w:val="0"/>
                <w:bCs w:val="0"/>
                <w:color w:val="auto"/>
                <w:sz w:val="24"/>
                <w:szCs w:val="36"/>
                <w:highlight w:val="none"/>
                <w:vertAlign w:val="baseline"/>
                <w:lang w:val="en-US" w:eastAsia="zh-CN"/>
              </w:rPr>
            </w:pPr>
            <w:r>
              <w:rPr>
                <w:rFonts w:hint="eastAsia" w:cs="Times New Roman"/>
                <w:b w:val="0"/>
                <w:bCs w:val="0"/>
                <w:color w:val="auto"/>
                <w:sz w:val="24"/>
                <w:szCs w:val="36"/>
                <w:highlight w:val="none"/>
                <w:vertAlign w:val="baseline"/>
                <w:lang w:val="en-US" w:eastAsia="zh-CN"/>
              </w:rPr>
              <w:t>本项目除2F实验区（包含检验试验区和微生物实验室等区域）设置一套全新风净化系统外，其他区域均采用分体式空调，不设置中央空调。</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kern w:val="2"/>
                <w:sz w:val="24"/>
                <w:szCs w:val="24"/>
              </w:rPr>
            </w:pPr>
            <w:r>
              <w:rPr>
                <w:rFonts w:hint="eastAsia" w:cs="Times New Roman"/>
                <w:b w:val="0"/>
                <w:bCs w:val="0"/>
                <w:color w:val="auto"/>
                <w:sz w:val="24"/>
                <w:szCs w:val="36"/>
                <w:highlight w:val="none"/>
                <w:vertAlign w:val="baseline"/>
                <w:lang w:val="en-US" w:eastAsia="zh-CN"/>
              </w:rPr>
              <w:t>实验区采用全新风净化系统进行制冷、制热，全新风净化系统由新风中效过滤段、表冷（加热）段、风机段、高效过滤送风段构成。冬季利用新风经表冷器制热处理后送入系统保持室内温度恒定；夏季利用新风经表冷器制冷处理后送入系统保持室内温度恒定。室内送排风采用上送下排方式，室内排风口设在室内被污染风险最高的区域，单侧布置，不得有障碍。新风系统风口装有高效过滤器，以实现进气洁净，另外更换高效过滤器比较方便。</w:t>
            </w:r>
            <w:r>
              <w:rPr>
                <w:rFonts w:hint="eastAsia" w:ascii="宋体" w:hAnsi="宋体" w:eastAsia="宋体" w:cs="宋体"/>
                <w:color w:val="auto"/>
                <w:kern w:val="2"/>
                <w:sz w:val="24"/>
                <w:szCs w:val="24"/>
                <w:lang w:val="en-US" w:eastAsia="zh-CN" w:bidi="ar"/>
              </w:rPr>
              <w:t>全新风净化空调系统流程：</w:t>
            </w:r>
          </w:p>
          <w:p>
            <w:pPr>
              <w:pStyle w:val="10"/>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object>
                <v:shape id="_x0000_i1026" o:spt="75" type="#_x0000_t75" style="height:80.85pt;width:453.2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cs="Times New Roman"/>
                <w:b/>
                <w:bCs/>
                <w:color w:val="auto"/>
                <w:sz w:val="24"/>
                <w:szCs w:val="36"/>
                <w:highlight w:val="none"/>
                <w:vertAlign w:val="baseline"/>
                <w:lang w:val="en-US" w:eastAsia="zh-CN"/>
              </w:rPr>
            </w:pPr>
            <w:r>
              <w:rPr>
                <w:rFonts w:eastAsia="黑体" w:cs="Times New Roman"/>
                <w:bCs/>
                <w:color w:val="auto"/>
                <w:szCs w:val="21"/>
                <w:highlight w:val="none"/>
              </w:rPr>
              <w:t>图2-</w:t>
            </w:r>
            <w:r>
              <w:rPr>
                <w:rFonts w:hint="eastAsia" w:eastAsia="黑体" w:cs="Times New Roman"/>
                <w:bCs/>
                <w:color w:val="auto"/>
                <w:szCs w:val="21"/>
                <w:highlight w:val="none"/>
                <w:lang w:val="en-US" w:eastAsia="zh-CN"/>
              </w:rPr>
              <w:t>2</w:t>
            </w:r>
            <w:r>
              <w:rPr>
                <w:rFonts w:eastAsia="黑体" w:cs="Times New Roman"/>
                <w:bCs/>
                <w:color w:val="auto"/>
                <w:szCs w:val="21"/>
                <w:highlight w:val="none"/>
              </w:rPr>
              <w:t xml:space="preserve"> 项目</w:t>
            </w:r>
            <w:r>
              <w:rPr>
                <w:rFonts w:hint="eastAsia" w:eastAsia="黑体" w:cs="Times New Roman"/>
                <w:bCs/>
                <w:color w:val="auto"/>
                <w:szCs w:val="21"/>
                <w:highlight w:val="none"/>
                <w:lang w:val="en-US" w:eastAsia="zh-CN"/>
              </w:rPr>
              <w:t>新风系统工艺流程图</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（4）氧气供应</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b w:val="0"/>
                <w:bCs w:val="0"/>
                <w:color w:val="auto"/>
                <w:sz w:val="24"/>
                <w:szCs w:val="36"/>
                <w:highlight w:val="none"/>
                <w:vertAlign w:val="baseline"/>
                <w:lang w:val="en-US" w:eastAsia="zh-CN"/>
              </w:rPr>
            </w:pPr>
            <w:r>
              <w:rPr>
                <w:rFonts w:hint="eastAsia" w:cs="Times New Roman"/>
                <w:b w:val="0"/>
                <w:bCs w:val="0"/>
                <w:color w:val="auto"/>
                <w:sz w:val="24"/>
                <w:szCs w:val="36"/>
                <w:highlight w:val="none"/>
                <w:vertAlign w:val="baseline"/>
                <w:lang w:val="en-US" w:eastAsia="zh-CN"/>
              </w:rPr>
              <w:t>项目在住院部楼顶设置2台医用制氧系统（一备一用）制氧供院区用氧点使用。医用制氧系统工艺流程如下：</w:t>
            </w: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eastAsia="黑体" w:cs="Times New Roman"/>
                <w:b/>
                <w:color w:val="auto"/>
                <w:szCs w:val="21"/>
                <w:highlight w:val="none"/>
                <w:lang w:val="en-US"/>
              </w:rPr>
            </w:pPr>
            <w:r>
              <w:rPr>
                <w:rFonts w:hint="eastAsia" w:cs="Times New Roman"/>
                <w:b w:val="0"/>
                <w:bCs w:val="0"/>
                <w:color w:val="auto"/>
                <w:sz w:val="24"/>
                <w:szCs w:val="36"/>
                <w:highlight w:val="none"/>
                <w:vertAlign w:val="baseline"/>
                <w:lang w:val="en-US" w:eastAsia="zh-CN"/>
              </w:rPr>
              <w:object>
                <v:shape id="_x0000_i1027" o:spt="75" type="#_x0000_t75" style="height:26.3pt;width:455.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r>
              <w:rPr>
                <w:rFonts w:eastAsia="黑体" w:cs="Times New Roman"/>
                <w:bCs/>
                <w:color w:val="auto"/>
                <w:szCs w:val="21"/>
                <w:highlight w:val="none"/>
              </w:rPr>
              <w:t>图2-</w:t>
            </w:r>
            <w:r>
              <w:rPr>
                <w:rFonts w:hint="eastAsia" w:eastAsia="黑体" w:cs="Times New Roman"/>
                <w:bCs/>
                <w:color w:val="auto"/>
                <w:szCs w:val="21"/>
                <w:highlight w:val="none"/>
                <w:lang w:val="en-US" w:eastAsia="zh-CN"/>
              </w:rPr>
              <w:t>3</w:t>
            </w:r>
            <w:r>
              <w:rPr>
                <w:rFonts w:eastAsia="黑体" w:cs="Times New Roman"/>
                <w:bCs/>
                <w:color w:val="auto"/>
                <w:szCs w:val="21"/>
                <w:highlight w:val="none"/>
              </w:rPr>
              <w:t xml:space="preserve"> 项目</w:t>
            </w:r>
            <w:r>
              <w:rPr>
                <w:rFonts w:hint="eastAsia" w:eastAsia="黑体" w:cs="Times New Roman"/>
                <w:bCs/>
                <w:color w:val="auto"/>
                <w:szCs w:val="21"/>
                <w:highlight w:val="none"/>
                <w:lang w:val="en-US" w:eastAsia="zh-CN"/>
              </w:rPr>
              <w:t>医用制氧系统工艺流程图</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（5）血透用水水处理系统</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b w:val="0"/>
                <w:bCs w:val="0"/>
                <w:color w:val="auto"/>
                <w:sz w:val="24"/>
                <w:szCs w:val="36"/>
                <w:highlight w:val="none"/>
                <w:vertAlign w:val="baseline"/>
                <w:lang w:val="en-US" w:eastAsia="zh-CN"/>
              </w:rPr>
            </w:pPr>
            <w:r>
              <w:rPr>
                <w:rFonts w:hint="eastAsia" w:cs="Times New Roman"/>
                <w:b w:val="0"/>
                <w:bCs w:val="0"/>
                <w:color w:val="auto"/>
                <w:sz w:val="24"/>
                <w:szCs w:val="36"/>
                <w:highlight w:val="none"/>
                <w:vertAlign w:val="baseline"/>
                <w:lang w:val="en-US" w:eastAsia="zh-CN"/>
              </w:rPr>
              <w:t>院区血透中心设置1套处理规模为3000L/h的血透用水水处理系统，采用“多介质+活性炭+软化器+精密过滤器+反渗透”工艺处理自来水，处理后达《血液透析用水标准》。水处理工艺见下图。</w:t>
            </w: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eastAsia="黑体" w:cs="Times New Roman"/>
                <w:b/>
                <w:color w:val="auto"/>
                <w:szCs w:val="21"/>
                <w:highlight w:val="none"/>
                <w:lang w:val="en-US"/>
              </w:rPr>
            </w:pPr>
            <w:r>
              <w:rPr>
                <w:rFonts w:hint="eastAsia" w:cs="Times New Roman"/>
                <w:b w:val="0"/>
                <w:bCs w:val="0"/>
                <w:color w:val="auto"/>
                <w:sz w:val="24"/>
                <w:szCs w:val="36"/>
                <w:highlight w:val="none"/>
                <w:vertAlign w:val="baseline"/>
                <w:lang w:val="en-US" w:eastAsia="zh-CN"/>
              </w:rPr>
              <w:object>
                <v:shape id="_x0000_i1028" o:spt="75" type="#_x0000_t75" style="height:164.5pt;width:455.4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r>
              <w:rPr>
                <w:rFonts w:eastAsia="黑体" w:cs="Times New Roman"/>
                <w:bCs/>
                <w:color w:val="auto"/>
                <w:szCs w:val="21"/>
                <w:highlight w:val="none"/>
              </w:rPr>
              <w:t>图2-</w:t>
            </w:r>
            <w:r>
              <w:rPr>
                <w:rFonts w:hint="eastAsia" w:eastAsia="黑体" w:cs="Times New Roman"/>
                <w:bCs/>
                <w:color w:val="auto"/>
                <w:szCs w:val="21"/>
                <w:highlight w:val="none"/>
                <w:lang w:val="en-US" w:eastAsia="zh-CN"/>
              </w:rPr>
              <w:t>4</w:t>
            </w:r>
            <w:r>
              <w:rPr>
                <w:rFonts w:eastAsia="黑体" w:cs="Times New Roman"/>
                <w:bCs/>
                <w:color w:val="auto"/>
                <w:szCs w:val="21"/>
                <w:highlight w:val="none"/>
              </w:rPr>
              <w:t xml:space="preserve"> 项目</w:t>
            </w:r>
            <w:r>
              <w:rPr>
                <w:rFonts w:hint="eastAsia" w:eastAsia="黑体" w:cs="Times New Roman"/>
                <w:bCs/>
                <w:color w:val="auto"/>
                <w:szCs w:val="21"/>
                <w:highlight w:val="none"/>
                <w:lang w:val="en-US" w:eastAsia="zh-CN"/>
              </w:rPr>
              <w:t>血透用水水处理系统工艺流程图</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6、劳动定员及工作制度</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本项目劳动定员150人，医院24小时运营，全年365天无休。医务人员按照8h/d工作，3班/d，轮休。</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cs="Times New Roman"/>
                <w:b/>
                <w:bCs/>
                <w:color w:val="auto"/>
                <w:sz w:val="24"/>
                <w:szCs w:val="36"/>
                <w:highlight w:val="none"/>
                <w:vertAlign w:val="baseline"/>
                <w:lang w:val="en-US" w:eastAsia="zh-CN"/>
              </w:rPr>
            </w:pPr>
            <w:r>
              <w:rPr>
                <w:rFonts w:hint="eastAsia" w:cs="Times New Roman"/>
                <w:b/>
                <w:bCs/>
                <w:color w:val="auto"/>
                <w:sz w:val="24"/>
                <w:szCs w:val="36"/>
                <w:highlight w:val="none"/>
                <w:vertAlign w:val="baseline"/>
                <w:lang w:val="en-US" w:eastAsia="zh-CN"/>
              </w:rPr>
              <w:t>7、平面布置分析</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（1）医院布局</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bCs/>
                <w:color w:val="auto"/>
                <w:sz w:val="24"/>
                <w:highlight w:val="none"/>
                <w:lang w:eastAsia="zh-CN"/>
              </w:rPr>
            </w:pPr>
            <w:r>
              <w:rPr>
                <w:rFonts w:hint="eastAsia"/>
                <w:b w:val="0"/>
                <w:bCs/>
                <w:color w:val="auto"/>
                <w:sz w:val="24"/>
                <w:highlight w:val="none"/>
                <w:lang w:val="en-US" w:eastAsia="zh-CN"/>
              </w:rPr>
              <w:t>本项目租赁骏杰汽贸园二号楼装修为住院部、发热门诊和业务楼，业务楼位于住院部西侧约20m，发热门诊位于住院部西侧约60m。本项目院区设置3个出（入）口，包括1个</w:t>
            </w:r>
            <w:r>
              <w:rPr>
                <w:rFonts w:hint="eastAsia"/>
                <w:bCs/>
                <w:color w:val="auto"/>
                <w:sz w:val="24"/>
                <w:highlight w:val="none"/>
              </w:rPr>
              <w:t>人行</w:t>
            </w:r>
            <w:r>
              <w:rPr>
                <w:bCs/>
                <w:color w:val="auto"/>
                <w:sz w:val="24"/>
                <w:highlight w:val="none"/>
              </w:rPr>
              <w:t>出入口</w:t>
            </w:r>
            <w:r>
              <w:rPr>
                <w:rFonts w:hint="eastAsia"/>
                <w:bCs/>
                <w:color w:val="auto"/>
                <w:sz w:val="24"/>
                <w:highlight w:val="none"/>
              </w:rPr>
              <w:t>（急救车出入口）</w:t>
            </w:r>
            <w:r>
              <w:rPr>
                <w:bCs/>
                <w:color w:val="auto"/>
                <w:sz w:val="24"/>
                <w:highlight w:val="none"/>
              </w:rPr>
              <w:t>、1个</w:t>
            </w:r>
            <w:r>
              <w:rPr>
                <w:rFonts w:hint="eastAsia"/>
                <w:bCs/>
                <w:color w:val="auto"/>
                <w:sz w:val="24"/>
                <w:highlight w:val="none"/>
              </w:rPr>
              <w:t>出入院出入口</w:t>
            </w:r>
            <w:r>
              <w:rPr>
                <w:rFonts w:hint="eastAsia"/>
                <w:bCs/>
                <w:color w:val="auto"/>
                <w:sz w:val="24"/>
                <w:highlight w:val="none"/>
                <w:lang w:eastAsia="zh-CN"/>
              </w:rPr>
              <w:t>、</w:t>
            </w:r>
            <w:r>
              <w:rPr>
                <w:rFonts w:hint="eastAsia"/>
                <w:bCs/>
                <w:color w:val="auto"/>
                <w:sz w:val="24"/>
                <w:highlight w:val="none"/>
                <w:lang w:val="en-US" w:eastAsia="zh-CN"/>
              </w:rPr>
              <w:t>1个污物出口，</w:t>
            </w:r>
            <w:r>
              <w:rPr>
                <w:bCs/>
                <w:color w:val="auto"/>
                <w:sz w:val="24"/>
                <w:highlight w:val="none"/>
              </w:rPr>
              <w:t>实现院区人车分流、人污分流，保证患者和污物有序进出医院</w:t>
            </w:r>
            <w:r>
              <w:rPr>
                <w:rFonts w:hint="eastAsia"/>
                <w:bCs/>
                <w:color w:val="auto"/>
                <w:sz w:val="24"/>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（2）主要环保设施设置</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bCs/>
                <w:color w:val="auto"/>
                <w:sz w:val="24"/>
                <w:highlight w:val="none"/>
                <w:lang w:val="en-US" w:eastAsia="zh-CN"/>
              </w:rPr>
            </w:pPr>
            <w:r>
              <w:rPr>
                <w:rFonts w:hint="eastAsia"/>
                <w:bCs/>
                <w:color w:val="auto"/>
                <w:sz w:val="24"/>
                <w:highlight w:val="none"/>
                <w:lang w:val="en-US" w:eastAsia="zh-CN"/>
              </w:rPr>
              <w:t>①一体化污水处理设施</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bCs/>
                <w:color w:val="auto"/>
                <w:sz w:val="24"/>
                <w:highlight w:val="none"/>
                <w:lang w:val="en-US" w:eastAsia="zh-CN"/>
              </w:rPr>
            </w:pPr>
            <w:r>
              <w:rPr>
                <w:rFonts w:hint="eastAsia"/>
                <w:bCs/>
                <w:color w:val="auto"/>
                <w:sz w:val="24"/>
                <w:highlight w:val="none"/>
                <w:lang w:val="en-US" w:eastAsia="zh-CN"/>
              </w:rPr>
              <w:t>医院一体化污水处理设施位于住院楼-1F，项目通过在</w:t>
            </w:r>
            <w:r>
              <w:rPr>
                <w:rFonts w:hint="eastAsia"/>
                <w:b w:val="0"/>
                <w:bCs/>
                <w:color w:val="auto"/>
                <w:sz w:val="24"/>
                <w:highlight w:val="none"/>
                <w:lang w:val="en-US" w:eastAsia="zh-CN" w:bidi="en-US"/>
              </w:rPr>
              <w:t>设施周边投加除臭剂、定期消毒等措施来降低恶臭</w:t>
            </w:r>
            <w:r>
              <w:rPr>
                <w:rFonts w:hint="eastAsia"/>
                <w:bCs/>
                <w:color w:val="auto"/>
                <w:sz w:val="24"/>
                <w:highlight w:val="none"/>
                <w:lang w:val="en-US" w:eastAsia="zh-CN"/>
              </w:rPr>
              <w:t>对周边环境影响。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bCs/>
                <w:color w:val="auto"/>
                <w:sz w:val="24"/>
                <w:highlight w:val="none"/>
                <w:lang w:val="en-US" w:eastAsia="zh-CN"/>
              </w:rPr>
            </w:pPr>
            <w:r>
              <w:rPr>
                <w:rFonts w:hint="eastAsia"/>
                <w:bCs/>
                <w:color w:val="auto"/>
                <w:sz w:val="24"/>
                <w:highlight w:val="none"/>
                <w:lang w:val="en-US" w:eastAsia="zh-CN"/>
              </w:rPr>
              <w:t>②医疗废物暂存间</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bCs/>
                <w:color w:val="auto"/>
                <w:sz w:val="24"/>
                <w:highlight w:val="none"/>
                <w:lang w:val="en-US" w:eastAsia="zh-CN"/>
              </w:rPr>
            </w:pPr>
            <w:r>
              <w:rPr>
                <w:rFonts w:hint="eastAsia"/>
                <w:bCs/>
                <w:color w:val="auto"/>
                <w:sz w:val="24"/>
                <w:highlight w:val="none"/>
                <w:lang w:val="en-US" w:eastAsia="zh-CN"/>
              </w:rPr>
              <w:t>项目医疗废物暂存间位于住院楼-1F，同时各科室、护理站、污物间等设置医疗废物收集专用桶；对医疗废物暂存间产生的恶臭通过密封医疗废物，加强管理，定期消毒，日产日清等措施，降低对周边环境的影响。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bCs/>
                <w:color w:val="auto"/>
                <w:sz w:val="24"/>
                <w:highlight w:val="none"/>
                <w:lang w:val="en-US" w:eastAsia="zh-CN"/>
              </w:rPr>
            </w:pPr>
            <w:r>
              <w:rPr>
                <w:rFonts w:hint="eastAsia"/>
                <w:bCs/>
                <w:color w:val="auto"/>
                <w:sz w:val="24"/>
                <w:highlight w:val="none"/>
                <w:lang w:val="en-US" w:eastAsia="zh-CN"/>
              </w:rPr>
              <w:t>③一般固废暂存间</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bCs/>
                <w:color w:val="auto"/>
                <w:sz w:val="24"/>
                <w:highlight w:val="none"/>
                <w:lang w:val="en-US" w:eastAsia="zh-CN"/>
              </w:rPr>
            </w:pPr>
            <w:r>
              <w:rPr>
                <w:rFonts w:hint="eastAsia"/>
                <w:bCs/>
                <w:color w:val="auto"/>
                <w:sz w:val="24"/>
                <w:highlight w:val="none"/>
                <w:lang w:val="en-US" w:eastAsia="zh-CN"/>
              </w:rPr>
              <w:t>项目一般固废暂存间位于住院楼-1F，主要暂存院区产生的一般固体废物。</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（3）噪声源布置</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eastAsia="宋体"/>
                <w:bCs/>
                <w:color w:val="auto"/>
                <w:sz w:val="24"/>
                <w:highlight w:val="none"/>
                <w:lang w:val="en-US" w:eastAsia="zh-CN"/>
              </w:rPr>
            </w:pPr>
            <w:r>
              <w:rPr>
                <w:rFonts w:hint="eastAsia"/>
                <w:bCs/>
                <w:color w:val="auto"/>
                <w:sz w:val="24"/>
                <w:highlight w:val="none"/>
                <w:lang w:val="en-US" w:eastAsia="zh-CN"/>
              </w:rPr>
              <w:t>本项目一体化污水处理设施、柴油发电机等高噪声设备均布置于地下室，通过地面隔声、安装减震垫、加强维修保养等措施</w:t>
            </w:r>
            <w:r>
              <w:rPr>
                <w:rFonts w:hint="eastAsia"/>
                <w:color w:val="auto"/>
                <w:sz w:val="24"/>
                <w:highlight w:val="none"/>
                <w:lang w:val="en-US" w:eastAsia="zh-CN"/>
              </w:rPr>
              <w:t>减小噪声对</w:t>
            </w:r>
            <w:r>
              <w:rPr>
                <w:rFonts w:hint="eastAsia"/>
                <w:bCs/>
                <w:color w:val="auto"/>
                <w:sz w:val="24"/>
                <w:highlight w:val="none"/>
                <w:lang w:val="en-US" w:eastAsia="zh-CN"/>
              </w:rPr>
              <w:t>周边环境的影响。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bCs/>
                <w:color w:val="auto"/>
                <w:sz w:val="24"/>
                <w:highlight w:val="none"/>
                <w:lang w:val="en-US" w:eastAsia="zh-CN"/>
              </w:rPr>
            </w:pPr>
            <w:r>
              <w:rPr>
                <w:rFonts w:hint="eastAsia"/>
                <w:bCs/>
                <w:color w:val="auto"/>
                <w:sz w:val="24"/>
                <w:highlight w:val="none"/>
                <w:lang w:val="en-US" w:eastAsia="zh-CN"/>
              </w:rPr>
              <w:t>综上所述，项目总平面实现了病区分类设置原则，避免了其相互影响，公辅设施位置设计合理，项目总平面布局合理。</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8、微生物试验室的主要技术指标</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kern w:val="2"/>
                <w:sz w:val="24"/>
                <w:szCs w:val="24"/>
                <w:lang w:val="en-US" w:eastAsia="zh-CN" w:bidi="ar"/>
              </w:rPr>
            </w:pPr>
            <w:r>
              <w:rPr>
                <w:rFonts w:hint="eastAsia"/>
                <w:bCs/>
                <w:color w:val="auto"/>
                <w:sz w:val="24"/>
                <w:highlight w:val="none"/>
                <w:lang w:val="en-US" w:eastAsia="zh-CN"/>
              </w:rPr>
              <w:t>项目微生物试验室为普通型</w:t>
            </w:r>
            <w:r>
              <w:rPr>
                <w:rFonts w:hint="eastAsia" w:ascii="宋体" w:hAnsi="宋体" w:eastAsia="宋体" w:cs="宋体"/>
                <w:color w:val="auto"/>
                <w:kern w:val="2"/>
                <w:sz w:val="24"/>
                <w:szCs w:val="24"/>
                <w:lang w:val="en-US" w:eastAsia="zh-CN" w:bidi="ar"/>
              </w:rPr>
              <w:t>医学</w:t>
            </w:r>
            <w:r>
              <w:rPr>
                <w:rFonts w:hint="default" w:ascii="Times New Roman" w:hAnsi="Times New Roman" w:eastAsia="宋体" w:cs="Times New Roman"/>
                <w:color w:val="auto"/>
                <w:kern w:val="2"/>
                <w:sz w:val="24"/>
                <w:szCs w:val="24"/>
                <w:lang w:val="en-US" w:eastAsia="zh-CN" w:bidi="ar"/>
              </w:rPr>
              <w:t>BSL-2</w:t>
            </w:r>
            <w:r>
              <w:rPr>
                <w:rFonts w:hint="eastAsia" w:ascii="宋体" w:hAnsi="宋体" w:eastAsia="宋体" w:cs="宋体"/>
                <w:color w:val="auto"/>
                <w:kern w:val="2"/>
                <w:sz w:val="24"/>
                <w:szCs w:val="24"/>
                <w:lang w:val="en-US" w:eastAsia="zh-CN" w:bidi="ar"/>
              </w:rPr>
              <w:t>实验室根据《医学生物安全二级实验室建筑技术标准》（</w:t>
            </w:r>
            <w:r>
              <w:rPr>
                <w:rFonts w:hint="default" w:ascii="Times New Roman" w:hAnsi="Times New Roman" w:eastAsia="宋体" w:cs="Times New Roman"/>
                <w:color w:val="auto"/>
                <w:kern w:val="2"/>
                <w:sz w:val="24"/>
                <w:szCs w:val="24"/>
                <w:lang w:val="en-US" w:eastAsia="zh-CN" w:bidi="ar"/>
              </w:rPr>
              <w:t>T/CECS 662G2020</w:t>
            </w:r>
            <w:r>
              <w:rPr>
                <w:rFonts w:hint="eastAsia" w:ascii="宋体" w:hAnsi="宋体" w:eastAsia="宋体" w:cs="宋体"/>
                <w:color w:val="auto"/>
                <w:kern w:val="2"/>
                <w:sz w:val="24"/>
                <w:szCs w:val="24"/>
                <w:lang w:val="en-US" w:eastAsia="zh-CN" w:bidi="ar"/>
              </w:rPr>
              <w:t>），实验室主要技术要求和指标如下表。</w:t>
            </w:r>
          </w:p>
          <w:p>
            <w:pPr>
              <w:snapToGrid w:val="0"/>
              <w:spacing w:line="276" w:lineRule="auto"/>
              <w:ind w:firstLine="482"/>
              <w:jc w:val="center"/>
              <w:rPr>
                <w:rFonts w:eastAsia="黑体"/>
                <w:color w:val="auto"/>
                <w:szCs w:val="21"/>
                <w:highlight w:val="none"/>
              </w:rPr>
            </w:pPr>
            <w:r>
              <w:rPr>
                <w:rFonts w:eastAsia="黑体"/>
                <w:color w:val="auto"/>
                <w:szCs w:val="21"/>
                <w:highlight w:val="none"/>
              </w:rPr>
              <w:t>表2-</w:t>
            </w:r>
            <w:r>
              <w:rPr>
                <w:rFonts w:hint="eastAsia" w:eastAsia="黑体"/>
                <w:color w:val="auto"/>
                <w:szCs w:val="21"/>
                <w:highlight w:val="none"/>
                <w:lang w:val="en-US" w:eastAsia="zh-CN"/>
              </w:rPr>
              <w:t>7</w:t>
            </w:r>
            <w:r>
              <w:rPr>
                <w:rFonts w:eastAsia="黑体"/>
                <w:color w:val="auto"/>
                <w:szCs w:val="21"/>
                <w:highlight w:val="none"/>
              </w:rPr>
              <w:t xml:space="preserve">  </w:t>
            </w:r>
            <w:r>
              <w:rPr>
                <w:rFonts w:hint="eastAsia" w:eastAsia="黑体"/>
                <w:color w:val="auto"/>
                <w:szCs w:val="21"/>
                <w:highlight w:val="none"/>
                <w:lang w:val="en-US" w:eastAsia="zh-CN"/>
              </w:rPr>
              <w:t>微生物实验室主要技术要求和指标</w:t>
            </w:r>
          </w:p>
          <w:tbl>
            <w:tblPr>
              <w:tblStyle w:val="21"/>
              <w:tblW w:w="9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70"/>
              <w:gridCol w:w="645"/>
              <w:gridCol w:w="1545"/>
              <w:gridCol w:w="660"/>
              <w:gridCol w:w="660"/>
              <w:gridCol w:w="765"/>
              <w:gridCol w:w="780"/>
              <w:gridCol w:w="735"/>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类型</w:t>
                  </w:r>
                </w:p>
              </w:tc>
              <w:tc>
                <w:tcPr>
                  <w:tcW w:w="147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通风方式</w:t>
                  </w:r>
                </w:p>
              </w:tc>
              <w:tc>
                <w:tcPr>
                  <w:tcW w:w="64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缓冲间</w:t>
                  </w:r>
                </w:p>
              </w:tc>
              <w:tc>
                <w:tcPr>
                  <w:tcW w:w="154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核心工作间相对于相邻区域最小负压（</w:t>
                  </w:r>
                  <w:r>
                    <w:rPr>
                      <w:rFonts w:hint="default" w:ascii="Times New Roman" w:hAnsi="Times New Roman" w:eastAsia="宋体" w:cs="Times New Roman"/>
                      <w:b/>
                      <w:bCs/>
                      <w:color w:val="auto"/>
                      <w:kern w:val="2"/>
                      <w:sz w:val="21"/>
                      <w:szCs w:val="21"/>
                      <w:lang w:val="en-US" w:eastAsia="zh-CN" w:bidi="ar"/>
                    </w:rPr>
                    <w:t>Pa</w:t>
                  </w:r>
                  <w:r>
                    <w:rPr>
                      <w:rFonts w:hint="eastAsia" w:ascii="宋体" w:hAnsi="宋体" w:eastAsia="宋体" w:cs="宋体"/>
                      <w:b/>
                      <w:bCs/>
                      <w:color w:val="auto"/>
                      <w:kern w:val="2"/>
                      <w:sz w:val="21"/>
                      <w:szCs w:val="21"/>
                      <w:lang w:val="en-US" w:eastAsia="zh-CN" w:bidi="ar"/>
                    </w:rPr>
                    <w:t>）</w:t>
                  </w:r>
                </w:p>
              </w:tc>
              <w:tc>
                <w:tcPr>
                  <w:tcW w:w="66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高效过滤排风</w:t>
                  </w:r>
                </w:p>
              </w:tc>
              <w:tc>
                <w:tcPr>
                  <w:tcW w:w="66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高效过滤送风</w:t>
                  </w:r>
                </w:p>
              </w:tc>
              <w:tc>
                <w:tcPr>
                  <w:tcW w:w="76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温度（</w:t>
                  </w:r>
                  <w:r>
                    <w:rPr>
                      <w:rFonts w:hint="eastAsia" w:ascii="Times New Roman" w:hAnsi="Times New Roman" w:eastAsia="宋体" w:cs="宋体"/>
                      <w:b/>
                      <w:bCs/>
                      <w:color w:val="auto"/>
                      <w:kern w:val="2"/>
                      <w:sz w:val="21"/>
                      <w:szCs w:val="21"/>
                      <w:lang w:val="en-US" w:eastAsia="zh-CN" w:bidi="ar"/>
                    </w:rPr>
                    <w:t>℃）</w:t>
                  </w:r>
                </w:p>
              </w:tc>
              <w:tc>
                <w:tcPr>
                  <w:tcW w:w="78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相对湿度（</w:t>
                  </w:r>
                  <w:r>
                    <w:rPr>
                      <w:rFonts w:hint="default" w:ascii="Times New Roman" w:hAnsi="Times New Roman" w:eastAsia="宋体" w:cs="Times New Roman"/>
                      <w:b/>
                      <w:bCs/>
                      <w:color w:val="auto"/>
                      <w:kern w:val="2"/>
                      <w:sz w:val="21"/>
                      <w:szCs w:val="21"/>
                      <w:lang w:val="en-US" w:eastAsia="zh-CN" w:bidi="ar"/>
                    </w:rPr>
                    <w:t>%</w:t>
                  </w:r>
                  <w:r>
                    <w:rPr>
                      <w:rFonts w:hint="eastAsia" w:ascii="宋体" w:hAnsi="宋体" w:eastAsia="宋体" w:cs="宋体"/>
                      <w:b/>
                      <w:bCs/>
                      <w:color w:val="auto"/>
                      <w:kern w:val="2"/>
                      <w:sz w:val="21"/>
                      <w:szCs w:val="21"/>
                      <w:lang w:val="en-US" w:eastAsia="zh-CN" w:bidi="ar"/>
                    </w:rPr>
                    <w:t>）</w:t>
                  </w:r>
                </w:p>
              </w:tc>
              <w:tc>
                <w:tcPr>
                  <w:tcW w:w="73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噪声</w:t>
                  </w:r>
                  <w:r>
                    <w:rPr>
                      <w:rFonts w:hint="default" w:ascii="Times New Roman" w:hAnsi="Times New Roman" w:eastAsia="宋体" w:cs="Times New Roman"/>
                      <w:b/>
                      <w:bCs/>
                      <w:color w:val="auto"/>
                      <w:kern w:val="2"/>
                      <w:sz w:val="21"/>
                      <w:szCs w:val="21"/>
                      <w:lang w:val="en-US" w:eastAsia="zh-CN" w:bidi="ar"/>
                    </w:rPr>
                    <w:t>[dB</w:t>
                  </w:r>
                  <w:r>
                    <w:rPr>
                      <w:rFonts w:hint="eastAsia" w:ascii="宋体" w:hAnsi="宋体" w:eastAsia="宋体" w:cs="宋体"/>
                      <w:b/>
                      <w:bCs/>
                      <w:color w:val="auto"/>
                      <w:kern w:val="2"/>
                      <w:sz w:val="21"/>
                      <w:szCs w:val="21"/>
                      <w:lang w:val="en-US" w:eastAsia="zh-CN" w:bidi="ar"/>
                    </w:rPr>
                    <w:t>（</w:t>
                  </w:r>
                  <w:r>
                    <w:rPr>
                      <w:rFonts w:hint="default" w:ascii="Times New Roman" w:hAnsi="Times New Roman" w:eastAsia="宋体" w:cs="Times New Roman"/>
                      <w:b/>
                      <w:bCs/>
                      <w:color w:val="auto"/>
                      <w:kern w:val="2"/>
                      <w:sz w:val="21"/>
                      <w:szCs w:val="21"/>
                      <w:lang w:val="en-US" w:eastAsia="zh-CN" w:bidi="ar"/>
                    </w:rPr>
                    <w:t>A</w:t>
                  </w:r>
                  <w:r>
                    <w:rPr>
                      <w:rFonts w:hint="eastAsia" w:ascii="宋体" w:hAnsi="宋体" w:eastAsia="宋体" w:cs="宋体"/>
                      <w:b/>
                      <w:bCs/>
                      <w:color w:val="auto"/>
                      <w:kern w:val="2"/>
                      <w:sz w:val="21"/>
                      <w:szCs w:val="21"/>
                      <w:lang w:val="en-US" w:eastAsia="zh-CN" w:bidi="ar"/>
                    </w:rPr>
                    <w:t>）</w:t>
                  </w:r>
                  <w:r>
                    <w:rPr>
                      <w:rFonts w:hint="default" w:ascii="Times New Roman" w:hAnsi="Times New Roman" w:eastAsia="宋体" w:cs="Times New Roman"/>
                      <w:b/>
                      <w:bCs/>
                      <w:color w:val="auto"/>
                      <w:kern w:val="2"/>
                      <w:sz w:val="21"/>
                      <w:szCs w:val="21"/>
                      <w:lang w:val="en-US" w:eastAsia="zh-CN" w:bidi="ar"/>
                    </w:rPr>
                    <w:t>]</w:t>
                  </w:r>
                </w:p>
              </w:tc>
              <w:tc>
                <w:tcPr>
                  <w:tcW w:w="901"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
                      <w:bCs/>
                      <w:color w:val="auto"/>
                      <w:sz w:val="21"/>
                      <w:szCs w:val="21"/>
                      <w:highlight w:val="none"/>
                      <w:vertAlign w:val="baseline"/>
                      <w:lang w:val="en-US" w:eastAsia="zh-CN"/>
                    </w:rPr>
                  </w:pPr>
                  <w:r>
                    <w:rPr>
                      <w:rFonts w:hint="eastAsia" w:ascii="宋体" w:hAnsi="宋体" w:eastAsia="宋体" w:cs="宋体"/>
                      <w:b/>
                      <w:bCs/>
                      <w:color w:val="auto"/>
                      <w:kern w:val="2"/>
                      <w:sz w:val="21"/>
                      <w:szCs w:val="21"/>
                      <w:lang w:val="en-US" w:eastAsia="zh-CN" w:bidi="ar"/>
                    </w:rPr>
                    <w:t>核心工作间平均照度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普通型医学</w:t>
                  </w:r>
                  <w:r>
                    <w:rPr>
                      <w:rFonts w:hint="default" w:ascii="Times New Roman" w:hAnsi="Times New Roman" w:eastAsia="宋体" w:cs="Times New Roman"/>
                      <w:color w:val="auto"/>
                      <w:kern w:val="2"/>
                      <w:sz w:val="21"/>
                      <w:szCs w:val="21"/>
                      <w:lang w:val="en-US" w:eastAsia="zh-CN" w:bidi="ar"/>
                    </w:rPr>
                    <w:t>BSL-2</w:t>
                  </w:r>
                  <w:r>
                    <w:rPr>
                      <w:rFonts w:hint="eastAsia" w:ascii="宋体" w:hAnsi="宋体" w:eastAsia="宋体" w:cs="宋体"/>
                      <w:color w:val="auto"/>
                      <w:kern w:val="2"/>
                      <w:sz w:val="21"/>
                      <w:szCs w:val="21"/>
                      <w:lang w:val="en-US" w:eastAsia="zh-CN" w:bidi="ar"/>
                    </w:rPr>
                    <w:t>实验室</w:t>
                  </w:r>
                </w:p>
              </w:tc>
              <w:tc>
                <w:tcPr>
                  <w:tcW w:w="147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应保证良好通风；可自然通风，宜设机械通风；可使用循环风</w:t>
                  </w:r>
                </w:p>
              </w:tc>
              <w:tc>
                <w:tcPr>
                  <w:tcW w:w="64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根据需要设置</w:t>
                  </w:r>
                </w:p>
              </w:tc>
              <w:tc>
                <w:tcPr>
                  <w:tcW w:w="154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w:t>
                  </w:r>
                </w:p>
              </w:tc>
              <w:tc>
                <w:tcPr>
                  <w:tcW w:w="66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w:t>
                  </w:r>
                </w:p>
              </w:tc>
              <w:tc>
                <w:tcPr>
                  <w:tcW w:w="66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w:t>
                  </w:r>
                </w:p>
              </w:tc>
              <w:tc>
                <w:tcPr>
                  <w:tcW w:w="76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lang w:val="en-US" w:eastAsia="zh-CN" w:bidi="ar"/>
                    </w:rPr>
                    <w:t>18~26</w:t>
                  </w:r>
                </w:p>
              </w:tc>
              <w:tc>
                <w:tcPr>
                  <w:tcW w:w="780"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w:t>
                  </w:r>
                </w:p>
              </w:tc>
              <w:tc>
                <w:tcPr>
                  <w:tcW w:w="735"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60</w:t>
                  </w:r>
                </w:p>
              </w:tc>
              <w:tc>
                <w:tcPr>
                  <w:tcW w:w="901" w:type="dxa"/>
                  <w:vAlign w:val="center"/>
                </w:tcPr>
                <w:p>
                  <w:pPr>
                    <w:pStyle w:val="18"/>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eastAsia"/>
                      <w:bCs/>
                      <w:color w:val="auto"/>
                      <w:sz w:val="21"/>
                      <w:szCs w:val="21"/>
                      <w:highlight w:val="none"/>
                      <w:vertAlign w:val="baseline"/>
                      <w:lang w:val="en-US" w:eastAsia="zh-CN"/>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300</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36"/>
                <w:highlight w:val="none"/>
                <w:vertAlign w:val="baseline"/>
                <w:lang w:val="en-US" w:eastAsia="zh-CN"/>
              </w:rPr>
            </w:pPr>
            <w:r>
              <w:rPr>
                <w:rFonts w:hint="eastAsia" w:ascii="宋体" w:hAnsi="宋体" w:eastAsia="宋体" w:cs="宋体"/>
                <w:color w:val="auto"/>
                <w:kern w:val="2"/>
                <w:sz w:val="24"/>
                <w:szCs w:val="24"/>
                <w:lang w:val="en-US" w:eastAsia="zh-CN" w:bidi="ar"/>
              </w:rPr>
              <w:t>本项目微生物实验室的主要技术要求和指标严格按照《医学生物安全二级实验室建筑技术标准》（</w:t>
            </w:r>
            <w:r>
              <w:rPr>
                <w:rFonts w:hint="default" w:ascii="Times New Roman" w:hAnsi="Times New Roman" w:eastAsia="宋体" w:cs="Times New Roman"/>
                <w:color w:val="auto"/>
                <w:kern w:val="2"/>
                <w:sz w:val="24"/>
                <w:szCs w:val="24"/>
                <w:lang w:val="en-US" w:eastAsia="zh-CN" w:bidi="ar"/>
              </w:rPr>
              <w:t>T/CECS 662G2020</w:t>
            </w:r>
            <w:r>
              <w:rPr>
                <w:rFonts w:hint="eastAsia" w:ascii="宋体" w:hAnsi="宋体" w:eastAsia="宋体" w:cs="宋体"/>
                <w:color w:val="auto"/>
                <w:kern w:val="2"/>
                <w:sz w:val="24"/>
                <w:szCs w:val="24"/>
                <w:lang w:val="en-US" w:eastAsia="zh-CN" w:bidi="ar"/>
              </w:rPr>
              <w:t>）要求</w:t>
            </w:r>
            <w:r>
              <w:rPr>
                <w:rFonts w:hint="eastAsia"/>
                <w:bCs/>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宋体" w:cs="Times New Roman"/>
                <w:color w:val="auto"/>
                <w:sz w:val="24"/>
                <w:szCs w:val="36"/>
                <w:highlight w:val="none"/>
                <w:vertAlign w:val="baseline"/>
                <w:lang w:val="en-US" w:eastAsia="zh-CN"/>
              </w:rPr>
            </w:pPr>
            <w:r>
              <w:rPr>
                <w:rFonts w:cs="Times New Roman"/>
                <w:color w:val="auto"/>
                <w:sz w:val="24"/>
                <w:szCs w:val="24"/>
                <w:highlight w:val="none"/>
              </w:rPr>
              <w:t>工艺流程和产排污环节</w:t>
            </w:r>
          </w:p>
        </w:tc>
        <w:tc>
          <w:tcPr>
            <w:tcW w:w="9281" w:type="dxa"/>
          </w:tcPr>
          <w:p>
            <w:pPr>
              <w:pStyle w:val="33"/>
              <w:keepNext w:val="0"/>
              <w:keepLines w:val="0"/>
              <w:pageBreakBefore w:val="0"/>
              <w:kinsoku/>
              <w:wordWrap/>
              <w:overflowPunct/>
              <w:topLinePunct w:val="0"/>
              <w:bidi w:val="0"/>
              <w:spacing w:line="360" w:lineRule="auto"/>
              <w:ind w:firstLine="0" w:firstLineChars="0"/>
              <w:rPr>
                <w:b/>
                <w:color w:val="auto"/>
                <w:highlight w:val="none"/>
              </w:rPr>
            </w:pPr>
            <w:r>
              <w:rPr>
                <w:b/>
                <w:color w:val="auto"/>
                <w:highlight w:val="none"/>
              </w:rPr>
              <w:t>一、施工期</w:t>
            </w:r>
            <w:r>
              <w:rPr>
                <w:b/>
                <w:color w:val="auto"/>
                <w:sz w:val="24"/>
                <w:highlight w:val="none"/>
              </w:rPr>
              <w:t>工艺流程及产污环节</w:t>
            </w:r>
          </w:p>
          <w:p>
            <w:pPr>
              <w:keepNext w:val="0"/>
              <w:keepLines w:val="0"/>
              <w:pageBreakBefore w:val="0"/>
              <w:kinsoku/>
              <w:wordWrap/>
              <w:overflowPunct/>
              <w:topLinePunct w:val="0"/>
              <w:bidi w:val="0"/>
              <w:spacing w:line="360" w:lineRule="auto"/>
              <w:ind w:firstLine="480" w:firstLineChars="200"/>
              <w:rPr>
                <w:color w:val="auto"/>
                <w:sz w:val="24"/>
                <w:highlight w:val="none"/>
              </w:rPr>
            </w:pPr>
            <w:r>
              <w:rPr>
                <w:color w:val="auto"/>
                <w:sz w:val="24"/>
                <w:highlight w:val="none"/>
              </w:rPr>
              <w:t>本项目施工主要基本工序为：室内墙体拆除，构筑物的装饰、装修，场地绿化、清理、验收，最后交付使用。施工期工艺流程及产污位置如下图所示</w:t>
            </w:r>
            <w:r>
              <w:rPr>
                <w:rFonts w:hint="eastAsia"/>
                <w:color w:val="auto"/>
                <w:sz w:val="24"/>
                <w:highlight w:val="none"/>
              </w:rPr>
              <w:t>：</w:t>
            </w:r>
          </w:p>
          <w:p>
            <w:pPr>
              <w:keepNext w:val="0"/>
              <w:keepLines w:val="0"/>
              <w:pageBreakBefore w:val="0"/>
              <w:kinsoku/>
              <w:wordWrap/>
              <w:overflowPunct/>
              <w:topLinePunct w:val="0"/>
              <w:bidi w:val="0"/>
              <w:spacing w:line="360" w:lineRule="auto"/>
              <w:jc w:val="center"/>
              <w:rPr>
                <w:color w:val="auto"/>
                <w:sz w:val="24"/>
                <w:highlight w:val="none"/>
              </w:rPr>
            </w:pPr>
            <w:r>
              <w:rPr>
                <w:rFonts w:eastAsia="黑体"/>
                <w:color w:val="auto"/>
                <w:szCs w:val="21"/>
                <w:highlight w:val="none"/>
              </w:rPr>
              <w:object>
                <v:shape id="_x0000_i1029" o:spt="75" type="#_x0000_t75" style="height:92.45pt;width:449.1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r>
              <w:rPr>
                <w:rFonts w:eastAsia="黑体"/>
                <w:color w:val="auto"/>
                <w:szCs w:val="21"/>
                <w:highlight w:val="none"/>
              </w:rPr>
              <w:t>图</w:t>
            </w:r>
            <w:r>
              <w:rPr>
                <w:color w:val="auto"/>
                <w:szCs w:val="21"/>
                <w:highlight w:val="none"/>
              </w:rPr>
              <w:t>2-</w:t>
            </w:r>
            <w:r>
              <w:rPr>
                <w:rFonts w:hint="eastAsia"/>
                <w:color w:val="auto"/>
                <w:szCs w:val="21"/>
                <w:highlight w:val="none"/>
                <w:lang w:val="en-US" w:eastAsia="zh-CN"/>
              </w:rPr>
              <w:t>5</w:t>
            </w:r>
            <w:r>
              <w:rPr>
                <w:color w:val="auto"/>
                <w:szCs w:val="21"/>
                <w:highlight w:val="none"/>
              </w:rPr>
              <w:t xml:space="preserve">  </w:t>
            </w:r>
            <w:r>
              <w:rPr>
                <w:rFonts w:hint="eastAsia" w:eastAsia="黑体"/>
                <w:color w:val="auto"/>
                <w:szCs w:val="21"/>
                <w:highlight w:val="none"/>
                <w:lang w:val="en-US" w:eastAsia="zh-CN"/>
              </w:rPr>
              <w:t>施工</w:t>
            </w:r>
            <w:r>
              <w:rPr>
                <w:rFonts w:eastAsia="黑体"/>
                <w:color w:val="auto"/>
                <w:szCs w:val="21"/>
                <w:highlight w:val="none"/>
              </w:rPr>
              <w:t>期工艺流程及产污位置图</w:t>
            </w:r>
          </w:p>
          <w:p>
            <w:pPr>
              <w:pStyle w:val="33"/>
              <w:keepNext w:val="0"/>
              <w:keepLines w:val="0"/>
              <w:pageBreakBefore w:val="0"/>
              <w:kinsoku/>
              <w:wordWrap/>
              <w:overflowPunct/>
              <w:topLinePunct w:val="0"/>
              <w:bidi w:val="0"/>
              <w:spacing w:line="360" w:lineRule="auto"/>
              <w:ind w:firstLine="482"/>
              <w:rPr>
                <w:b/>
                <w:color w:val="auto"/>
                <w:highlight w:val="none"/>
              </w:rPr>
            </w:pPr>
            <w:r>
              <w:rPr>
                <w:b/>
                <w:color w:val="auto"/>
                <w:highlight w:val="none"/>
              </w:rPr>
              <w:t>主要工序简述：</w:t>
            </w:r>
          </w:p>
          <w:p>
            <w:pPr>
              <w:keepNext w:val="0"/>
              <w:keepLines w:val="0"/>
              <w:pageBreakBefore w:val="0"/>
              <w:kinsoku/>
              <w:wordWrap/>
              <w:overflowPunct/>
              <w:topLinePunct w:val="0"/>
              <w:bidi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（1）拆除工程施工</w:t>
            </w:r>
          </w:p>
          <w:p>
            <w:pPr>
              <w:keepNext w:val="0"/>
              <w:keepLines w:val="0"/>
              <w:pageBreakBefore w:val="0"/>
              <w:kinsoku/>
              <w:wordWrap/>
              <w:overflowPunct/>
              <w:topLinePunct w:val="0"/>
              <w:bidi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对部分医疗卫生用房室内墙体进行拆除，将产生一定的噪声、建渣；同时产生扬尘，属无组织面源排放，源强不易确定；同时产生施工人员生活废水和生活垃圾。</w:t>
            </w:r>
          </w:p>
          <w:p>
            <w:pPr>
              <w:keepNext w:val="0"/>
              <w:keepLines w:val="0"/>
              <w:pageBreakBefore w:val="0"/>
              <w:kinsoku/>
              <w:wordWrap/>
              <w:overflowPunct/>
              <w:topLinePunct w:val="0"/>
              <w:bidi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（2）装饰工程施工</w:t>
            </w:r>
          </w:p>
          <w:p>
            <w:pPr>
              <w:keepNext w:val="0"/>
              <w:keepLines w:val="0"/>
              <w:pageBreakBefore w:val="0"/>
              <w:kinsoku/>
              <w:wordWrap/>
              <w:overflowPunct/>
              <w:topLinePunct w:val="0"/>
              <w:bidi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在对构筑物的室内外进行装修时（如表面粉刷、油漆、喷涂、裱糊、镶贴装饰等），钻机、电锤、切割机等产生噪声；油漆、喷涂、建筑及装饰材料等产生废气、废弃物料及少量污水。</w:t>
            </w:r>
          </w:p>
          <w:p>
            <w:pPr>
              <w:pStyle w:val="33"/>
              <w:keepNext w:val="0"/>
              <w:keepLines w:val="0"/>
              <w:pageBreakBefore w:val="0"/>
              <w:kinsoku/>
              <w:wordWrap/>
              <w:overflowPunct/>
              <w:topLinePunct w:val="0"/>
              <w:bidi w:val="0"/>
              <w:spacing w:line="360" w:lineRule="auto"/>
              <w:ind w:firstLine="482"/>
              <w:rPr>
                <w:b/>
                <w:bCs w:val="0"/>
                <w:color w:val="auto"/>
                <w:highlight w:val="none"/>
              </w:rPr>
            </w:pPr>
            <w:r>
              <w:rPr>
                <w:rFonts w:hint="eastAsia"/>
                <w:color w:val="auto"/>
                <w:sz w:val="24"/>
                <w:highlight w:val="none"/>
                <w:lang w:val="en-US" w:eastAsia="zh-CN"/>
              </w:rPr>
              <w:t>（3）</w:t>
            </w:r>
            <w:r>
              <w:rPr>
                <w:b w:val="0"/>
                <w:bCs/>
                <w:color w:val="auto"/>
                <w:highlight w:val="none"/>
              </w:rPr>
              <w:t>设备安装</w:t>
            </w:r>
          </w:p>
          <w:p>
            <w:pPr>
              <w:keepNext w:val="0"/>
              <w:keepLines w:val="0"/>
              <w:pageBreakBefore w:val="0"/>
              <w:kinsoku/>
              <w:wordWrap/>
              <w:overflowPunct/>
              <w:topLinePunct w:val="0"/>
              <w:bidi w:val="0"/>
              <w:adjustRightInd w:val="0"/>
              <w:snapToGrid w:val="0"/>
              <w:spacing w:line="360" w:lineRule="auto"/>
              <w:ind w:firstLine="480" w:firstLineChars="200"/>
              <w:rPr>
                <w:color w:val="auto"/>
                <w:sz w:val="24"/>
                <w:highlight w:val="none"/>
              </w:rPr>
            </w:pPr>
            <w:r>
              <w:rPr>
                <w:color w:val="auto"/>
                <w:sz w:val="24"/>
                <w:highlight w:val="none"/>
              </w:rPr>
              <w:t>主要包括</w:t>
            </w:r>
            <w:r>
              <w:rPr>
                <w:rFonts w:hint="eastAsia"/>
                <w:bCs/>
                <w:color w:val="auto"/>
                <w:sz w:val="24"/>
                <w:highlight w:val="none"/>
                <w:lang w:val="en-US" w:eastAsia="zh-CN"/>
              </w:rPr>
              <w:t>一体化污水处理设施</w:t>
            </w:r>
            <w:r>
              <w:rPr>
                <w:color w:val="auto"/>
                <w:sz w:val="24"/>
                <w:highlight w:val="none"/>
              </w:rPr>
              <w:t>、</w:t>
            </w:r>
            <w:r>
              <w:rPr>
                <w:rFonts w:hint="eastAsia"/>
                <w:color w:val="auto"/>
                <w:sz w:val="24"/>
                <w:highlight w:val="none"/>
                <w:lang w:val="en-US" w:eastAsia="zh-CN"/>
              </w:rPr>
              <w:t>柴油发电机、</w:t>
            </w:r>
            <w:r>
              <w:rPr>
                <w:color w:val="auto"/>
                <w:sz w:val="24"/>
                <w:highlight w:val="none"/>
              </w:rPr>
              <w:t>医疗设备等</w:t>
            </w:r>
            <w:r>
              <w:rPr>
                <w:rFonts w:hint="eastAsia"/>
                <w:color w:val="auto"/>
                <w:sz w:val="24"/>
                <w:highlight w:val="none"/>
                <w:lang w:val="en-US" w:eastAsia="zh-CN"/>
              </w:rPr>
              <w:t>安装</w:t>
            </w:r>
            <w:r>
              <w:rPr>
                <w:color w:val="auto"/>
                <w:sz w:val="24"/>
                <w:highlight w:val="none"/>
              </w:rPr>
              <w:t>，其主要废物为废包装材料。</w:t>
            </w:r>
          </w:p>
          <w:p>
            <w:pPr>
              <w:keepNext w:val="0"/>
              <w:keepLines w:val="0"/>
              <w:pageBreakBefore w:val="0"/>
              <w:kinsoku/>
              <w:wordWrap/>
              <w:overflowPunct/>
              <w:topLinePunct w:val="0"/>
              <w:bidi w:val="0"/>
              <w:adjustRightInd w:val="0"/>
              <w:snapToGrid w:val="0"/>
              <w:spacing w:line="360" w:lineRule="auto"/>
              <w:rPr>
                <w:b/>
                <w:color w:val="auto"/>
                <w:sz w:val="24"/>
                <w:highlight w:val="none"/>
              </w:rPr>
            </w:pPr>
            <w:r>
              <w:rPr>
                <w:b/>
                <w:color w:val="auto"/>
                <w:sz w:val="24"/>
                <w:highlight w:val="none"/>
              </w:rPr>
              <w:t>二、营运期工艺流程及产污环节</w:t>
            </w:r>
          </w:p>
          <w:p>
            <w:pPr>
              <w:keepNext w:val="0"/>
              <w:keepLines w:val="0"/>
              <w:pageBreakBefore w:val="0"/>
              <w:kinsoku/>
              <w:wordWrap/>
              <w:overflowPunct/>
              <w:topLinePunct w:val="0"/>
              <w:bidi w:val="0"/>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本项目主要从事医疗服务工作，运营过程中产生少量废气、废水、固废、噪声等污染物。</w:t>
            </w:r>
          </w:p>
          <w:p>
            <w:pPr>
              <w:keepNext w:val="0"/>
              <w:keepLines w:val="0"/>
              <w:pageBreakBefore w:val="0"/>
              <w:kinsoku/>
              <w:wordWrap/>
              <w:overflowPunct/>
              <w:topLinePunct w:val="0"/>
              <w:bidi w:val="0"/>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本项目不设置传染科，对前来就诊的传染病人详细询问有无流感及其他传染接触史，进行流行病学调查及体格检查，做出初步诊断，并认真登记。坚持门诊首诊负责制，对传染病一单确诊，按照国家相关规定，立即转诊，在转诊过程中严格执行防护措施，对病人有可能污染的物品，按要求进行消毒处理。对于传染病人通过专用通道进行转移，防止与其他病人发生交叉感染。以下医疗工作流程不包括传染病人就诊流程</w:t>
            </w:r>
            <w:r>
              <w:rPr>
                <w:rFonts w:hint="eastAsia"/>
                <w:color w:val="auto"/>
                <w:sz w:val="24"/>
                <w:highlight w:val="none"/>
                <w:lang w:eastAsia="zh-CN"/>
              </w:rPr>
              <w:t>。</w:t>
            </w:r>
          </w:p>
          <w:p>
            <w:pPr>
              <w:keepNext w:val="0"/>
              <w:keepLines w:val="0"/>
              <w:pageBreakBefore w:val="0"/>
              <w:kinsoku/>
              <w:wordWrap/>
              <w:overflowPunct/>
              <w:topLinePunct w:val="0"/>
              <w:bidi w:val="0"/>
              <w:spacing w:line="360" w:lineRule="auto"/>
              <w:jc w:val="center"/>
              <w:rPr>
                <w:rFonts w:hint="eastAsia"/>
                <w:color w:val="auto"/>
                <w:sz w:val="24"/>
                <w:highlight w:val="none"/>
              </w:rPr>
            </w:pPr>
            <w:r>
              <w:rPr>
                <w:b/>
                <w:bCs/>
                <w:color w:val="auto"/>
                <w:sz w:val="24"/>
                <w:highlight w:val="none"/>
              </w:rPr>
              <w:object>
                <v:shape id="_x0000_i1030" o:spt="75" type="#_x0000_t75" style="height:201.35pt;width:456.8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30" r:id="rId20">
                  <o:LockedField>false</o:LockedField>
                </o:OLEObject>
              </w:object>
            </w:r>
            <w:r>
              <w:rPr>
                <w:rFonts w:eastAsia="黑体"/>
                <w:color w:val="auto"/>
                <w:szCs w:val="21"/>
                <w:highlight w:val="none"/>
              </w:rPr>
              <w:t>图</w:t>
            </w:r>
            <w:r>
              <w:rPr>
                <w:color w:val="auto"/>
                <w:szCs w:val="21"/>
                <w:highlight w:val="none"/>
              </w:rPr>
              <w:t>2-</w:t>
            </w:r>
            <w:r>
              <w:rPr>
                <w:rFonts w:hint="eastAsia"/>
                <w:color w:val="auto"/>
                <w:szCs w:val="21"/>
                <w:highlight w:val="none"/>
                <w:lang w:val="en-US" w:eastAsia="zh-CN"/>
              </w:rPr>
              <w:t>6</w:t>
            </w:r>
            <w:r>
              <w:rPr>
                <w:color w:val="auto"/>
                <w:szCs w:val="21"/>
                <w:highlight w:val="none"/>
              </w:rPr>
              <w:t xml:space="preserve">  </w:t>
            </w:r>
            <w:r>
              <w:rPr>
                <w:rFonts w:eastAsia="黑体"/>
                <w:color w:val="auto"/>
                <w:szCs w:val="21"/>
                <w:highlight w:val="none"/>
              </w:rPr>
              <w:t>营运期工艺流程及产污位置图</w:t>
            </w:r>
          </w:p>
          <w:p>
            <w:pPr>
              <w:keepNext w:val="0"/>
              <w:keepLines w:val="0"/>
              <w:pageBreakBefore w:val="0"/>
              <w:kinsoku/>
              <w:wordWrap/>
              <w:overflowPunct/>
              <w:topLinePunct w:val="0"/>
              <w:bidi w:val="0"/>
              <w:adjustRightInd w:val="0"/>
              <w:snapToGrid w:val="0"/>
              <w:spacing w:line="360" w:lineRule="auto"/>
              <w:ind w:firstLine="482" w:firstLineChars="200"/>
              <w:rPr>
                <w:rFonts w:hint="default" w:eastAsia="宋体"/>
                <w:b/>
                <w:bCs/>
                <w:color w:val="auto"/>
                <w:sz w:val="24"/>
                <w:highlight w:val="none"/>
                <w:lang w:val="en-US" w:eastAsia="zh-CN"/>
              </w:rPr>
            </w:pPr>
            <w:r>
              <w:rPr>
                <w:rFonts w:hint="eastAsia"/>
                <w:b/>
                <w:bCs/>
                <w:color w:val="auto"/>
                <w:sz w:val="24"/>
                <w:highlight w:val="none"/>
                <w:lang w:val="en-US" w:eastAsia="zh-CN"/>
              </w:rPr>
              <w:t>营运期产污环节：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lang w:val="en-US" w:eastAsia="zh-CN"/>
              </w:rPr>
              <w:t>废气：</w:t>
            </w:r>
            <w:r>
              <w:rPr>
                <w:rFonts w:hint="default" w:ascii="Times New Roman" w:hAnsi="Times New Roman" w:cs="Times New Roman"/>
                <w:color w:val="auto"/>
                <w:sz w:val="24"/>
                <w:szCs w:val="24"/>
                <w:highlight w:val="none"/>
                <w:lang w:eastAsia="zh-CN"/>
              </w:rPr>
              <w:t>主要为</w:t>
            </w:r>
            <w:r>
              <w:rPr>
                <w:rFonts w:hint="eastAsia" w:cs="Times New Roman"/>
                <w:color w:val="auto"/>
                <w:sz w:val="24"/>
                <w:szCs w:val="24"/>
                <w:highlight w:val="none"/>
                <w:lang w:eastAsia="zh-CN"/>
              </w:rPr>
              <w:t>病区含菌空气、</w:t>
            </w:r>
            <w:r>
              <w:rPr>
                <w:rFonts w:hint="eastAsia" w:cs="Times New Roman"/>
                <w:color w:val="auto"/>
                <w:sz w:val="24"/>
                <w:szCs w:val="24"/>
                <w:highlight w:val="none"/>
                <w:lang w:val="en-US" w:eastAsia="zh-CN"/>
              </w:rPr>
              <w:t>含病原微生物气溶胶废气、</w:t>
            </w:r>
            <w:r>
              <w:rPr>
                <w:rFonts w:hint="eastAsia" w:cs="Times New Roman"/>
                <w:color w:val="auto"/>
                <w:sz w:val="24"/>
                <w:szCs w:val="24"/>
                <w:highlight w:val="none"/>
                <w:lang w:eastAsia="zh-CN"/>
              </w:rPr>
              <w:t>垃圾恶臭、发电机废气、食堂油烟、一体化污水处理设施恶臭、汽车尾气</w:t>
            </w:r>
            <w:r>
              <w:rPr>
                <w:rFonts w:hint="default" w:ascii="Times New Roman" w:hAnsi="Times New Roman" w:cs="Times New Roman"/>
                <w:color w:val="auto"/>
                <w:sz w:val="24"/>
                <w:szCs w:val="24"/>
                <w:highlight w:val="none"/>
                <w:lang w:eastAsia="zh-CN"/>
              </w:rPr>
              <w:t>。</w:t>
            </w:r>
          </w:p>
          <w:p>
            <w:pPr>
              <w:keepNext w:val="0"/>
              <w:keepLines w:val="0"/>
              <w:pageBreakBefore w:val="0"/>
              <w:kinsoku/>
              <w:wordWrap/>
              <w:overflowPunct/>
              <w:topLinePunct w:val="0"/>
              <w:bidi w:val="0"/>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lang w:val="en-US" w:eastAsia="zh-CN"/>
              </w:rPr>
              <w:t>废水：医疗废水、生活污水、食堂废水、地面清洁废水等。</w:t>
            </w:r>
          </w:p>
          <w:p>
            <w:pPr>
              <w:keepNext w:val="0"/>
              <w:keepLines w:val="0"/>
              <w:pageBreakBefore w:val="0"/>
              <w:kinsoku/>
              <w:wordWrap/>
              <w:overflowPunct/>
              <w:topLinePunct w:val="0"/>
              <w:bidi w:val="0"/>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lang w:val="en-US" w:eastAsia="zh-CN"/>
              </w:rPr>
              <w:t>噪声：空调、</w:t>
            </w:r>
            <w:r>
              <w:rPr>
                <w:rFonts w:hint="eastAsia"/>
                <w:bCs/>
                <w:color w:val="auto"/>
                <w:sz w:val="24"/>
                <w:highlight w:val="none"/>
                <w:lang w:val="en-US" w:eastAsia="zh-CN"/>
              </w:rPr>
              <w:t>一体化污水处理设施</w:t>
            </w:r>
            <w:r>
              <w:rPr>
                <w:rFonts w:hint="eastAsia"/>
                <w:color w:val="auto"/>
                <w:sz w:val="24"/>
                <w:highlight w:val="none"/>
                <w:lang w:val="en-US" w:eastAsia="zh-CN"/>
              </w:rPr>
              <w:t>、柴油发电机、医疗设备、血透用水水处理系统等设备运行噪声。</w:t>
            </w:r>
          </w:p>
          <w:p>
            <w:pPr>
              <w:keepNext w:val="0"/>
              <w:keepLines w:val="0"/>
              <w:pageBreakBefore w:val="0"/>
              <w:kinsoku/>
              <w:wordWrap/>
              <w:overflowPunct/>
              <w:topLinePunct w:val="0"/>
              <w:bidi w:val="0"/>
              <w:adjustRightInd w:val="0"/>
              <w:snapToGrid w:val="0"/>
              <w:spacing w:line="360" w:lineRule="auto"/>
              <w:ind w:firstLine="480" w:firstLineChars="200"/>
              <w:rPr>
                <w:rFonts w:hint="eastAsia" w:cs="Times New Roman"/>
                <w:color w:val="auto"/>
                <w:sz w:val="24"/>
                <w:szCs w:val="36"/>
                <w:highlight w:val="none"/>
                <w:vertAlign w:val="baseline"/>
                <w:lang w:val="en-US"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eastAsia"/>
                <w:color w:val="auto"/>
                <w:sz w:val="24"/>
                <w:highlight w:val="none"/>
                <w:lang w:val="en-US" w:eastAsia="zh-CN"/>
              </w:rPr>
              <w:t>固体废弃物：生活垃圾、餐厨垃圾（含油水分离器浮油）、未感染的输液瓶（袋）、废包装材料、废过滤材料、医疗废物、废药品、污泥、</w:t>
            </w:r>
            <w:r>
              <w:rPr>
                <w:rFonts w:hint="eastAsia" w:cs="Times New Roman"/>
                <w:color w:val="auto"/>
                <w:sz w:val="24"/>
                <w:highlight w:val="none"/>
                <w:lang w:val="en-US" w:eastAsia="zh-CN"/>
              </w:rPr>
              <w:t>废紫外灯</w:t>
            </w:r>
            <w:r>
              <w:rPr>
                <w:rFonts w:hint="eastAsia"/>
                <w:color w:val="auto"/>
                <w:sz w:val="24"/>
                <w:highlight w:val="none"/>
                <w:lang w:val="en-US" w:eastAsia="zh-CN"/>
              </w:rPr>
              <w:t>等</w:t>
            </w:r>
            <w:r>
              <w:rPr>
                <w:rFonts w:hint="eastAsia"/>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7" w:hRule="atLeast"/>
          <w:jc w:val="center"/>
        </w:trPr>
        <w:tc>
          <w:tcPr>
            <w:tcW w:w="456" w:type="dxa"/>
            <w:vAlign w:val="center"/>
          </w:tcPr>
          <w:p>
            <w:pPr>
              <w:pStyle w:val="18"/>
              <w:keepNext w:val="0"/>
              <w:keepLines w:val="0"/>
              <w:pageBreakBefore w:val="0"/>
              <w:kinsoku/>
              <w:wordWrap/>
              <w:overflowPunct/>
              <w:topLinePunct w:val="0"/>
              <w:bidi w:val="0"/>
              <w:adjustRightInd w:val="0"/>
              <w:snapToGrid w:val="0"/>
              <w:spacing w:before="0" w:beforeAutospacing="0" w:after="0" w:afterAutospacing="0" w:line="360" w:lineRule="auto"/>
              <w:jc w:val="center"/>
              <w:rPr>
                <w:rFonts w:ascii="Times New Roman" w:hAnsi="Times New Roman" w:eastAsia="宋体" w:cs="黑体"/>
                <w:color w:val="auto"/>
                <w:kern w:val="0"/>
                <w:sz w:val="24"/>
                <w:szCs w:val="24"/>
                <w:highlight w:val="none"/>
                <w:lang w:val="en-US" w:eastAsia="zh-CN" w:bidi="ar-SA"/>
              </w:rPr>
            </w:pPr>
            <w:r>
              <w:rPr>
                <w:rFonts w:ascii="Times New Roman" w:hAnsi="Times New Roman"/>
                <w:bCs/>
                <w:color w:val="auto"/>
                <w:kern w:val="2"/>
                <w:szCs w:val="24"/>
                <w:highlight w:val="none"/>
              </w:rPr>
              <w:t>与项目有关的原有环境污染问题</w:t>
            </w:r>
          </w:p>
        </w:tc>
        <w:tc>
          <w:tcPr>
            <w:tcW w:w="9281" w:type="dxa"/>
          </w:tcPr>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本项目为新建项目，租赁空置的商业用房经装修而成，因此</w:t>
            </w:r>
            <w:r>
              <w:rPr>
                <w:rFonts w:hint="eastAsia" w:cs="Times New Roman"/>
                <w:color w:val="auto"/>
                <w:sz w:val="24"/>
                <w:szCs w:val="36"/>
                <w:highlight w:val="none"/>
                <w:vertAlign w:val="baseline"/>
                <w:lang w:eastAsia="zh-CN"/>
              </w:rPr>
              <w:t>，</w:t>
            </w:r>
            <w:r>
              <w:rPr>
                <w:rFonts w:hint="eastAsia" w:cs="Times New Roman"/>
                <w:color w:val="auto"/>
                <w:sz w:val="24"/>
                <w:szCs w:val="36"/>
                <w:highlight w:val="none"/>
                <w:vertAlign w:val="baseline"/>
                <w:lang w:val="en-US" w:eastAsia="zh-CN"/>
              </w:rPr>
              <w:t>不存在遗留的环境</w:t>
            </w:r>
            <w:r>
              <w:rPr>
                <w:rFonts w:hint="default" w:ascii="Times New Roman" w:hAnsi="Times New Roman" w:eastAsia="宋体" w:cs="Times New Roman"/>
                <w:color w:val="auto"/>
                <w:sz w:val="24"/>
                <w:szCs w:val="24"/>
                <w:highlight w:val="none"/>
              </w:rPr>
              <w:t>问题</w:t>
            </w:r>
            <w:r>
              <w:rPr>
                <w:rFonts w:hint="eastAsia" w:cs="Times New Roman"/>
                <w:color w:val="auto"/>
                <w:sz w:val="24"/>
                <w:szCs w:val="36"/>
                <w:highlight w:val="none"/>
                <w:vertAlign w:val="baseline"/>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s="Times New Roman"/>
                <w:color w:val="auto"/>
                <w:sz w:val="24"/>
                <w:szCs w:val="36"/>
                <w:highlight w:val="none"/>
                <w:vertAlign w:val="baseli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cs="Times New Roman"/>
                <w:color w:val="auto"/>
                <w:sz w:val="24"/>
                <w:szCs w:val="36"/>
                <w:highlight w:val="none"/>
                <w:vertAlign w:val="baseline"/>
                <w:lang w:val="en-US" w:eastAsia="zh-CN"/>
              </w:rPr>
            </w:pPr>
          </w:p>
        </w:tc>
      </w:tr>
    </w:tbl>
    <w:p>
      <w:pPr>
        <w:pStyle w:val="1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color w:val="auto"/>
          <w:sz w:val="24"/>
          <w:szCs w:val="36"/>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8"/>
        <w:spacing w:line="360" w:lineRule="auto"/>
        <w:jc w:val="center"/>
        <w:rPr>
          <w:rFonts w:eastAsia="黑体" w:cs="Times New Roman"/>
          <w:b w:val="0"/>
          <w:color w:val="auto"/>
          <w:sz w:val="30"/>
          <w:szCs w:val="30"/>
          <w:highlight w:val="none"/>
        </w:rPr>
      </w:pPr>
      <w:r>
        <w:rPr>
          <w:rFonts w:eastAsia="黑体" w:cs="Times New Roman"/>
          <w:b w:val="0"/>
          <w:color w:val="auto"/>
          <w:sz w:val="30"/>
          <w:szCs w:val="30"/>
          <w:highlight w:val="none"/>
        </w:rPr>
        <w:t>三、区域环境质量现状、环境保护目标及评价标准</w:t>
      </w:r>
    </w:p>
    <w:tbl>
      <w:tblPr>
        <w:tblStyle w:val="20"/>
        <w:tblW w:w="9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4" w:type="dxa"/>
            <w:vAlign w:val="center"/>
          </w:tcPr>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w:t>
            </w:r>
          </w:p>
        </w:tc>
        <w:tc>
          <w:tcPr>
            <w:tcW w:w="928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1、大气环境质量现状</w:t>
            </w:r>
          </w:p>
          <w:p>
            <w:pPr>
              <w:keepNext w:val="0"/>
              <w:keepLines w:val="0"/>
              <w:pageBreakBefore w:val="0"/>
              <w:widowControl w:val="0"/>
              <w:kinsoku/>
              <w:wordWrap/>
              <w:overflowPunct/>
              <w:topLinePunct w:val="0"/>
              <w:autoSpaceDE/>
              <w:autoSpaceDN/>
              <w:bidi w:val="0"/>
              <w:adjustRightInd/>
              <w:snapToGrid/>
              <w:spacing w:line="360" w:lineRule="auto"/>
              <w:ind w:left="0" w:firstLine="470" w:firstLineChars="196"/>
              <w:textAlignment w:val="auto"/>
              <w:rPr>
                <w:rFonts w:hint="eastAsia" w:cs="Times New Roman"/>
                <w:b w:val="0"/>
                <w:bCs w:val="0"/>
                <w:color w:val="auto"/>
                <w:sz w:val="24"/>
                <w:szCs w:val="24"/>
                <w:highlight w:val="none"/>
                <w:lang w:eastAsia="zh-CN"/>
              </w:rPr>
            </w:pPr>
            <w:r>
              <w:rPr>
                <w:rFonts w:hint="default" w:ascii="Times New Roman" w:hAnsi="Times New Roman" w:eastAsia="宋体" w:cs="Times New Roman"/>
                <w:color w:val="auto"/>
                <w:sz w:val="24"/>
                <w:szCs w:val="24"/>
                <w:highlight w:val="none"/>
              </w:rPr>
              <w:t>本项目位于</w:t>
            </w:r>
            <w:r>
              <w:rPr>
                <w:rFonts w:hint="eastAsia" w:cs="Times New Roman"/>
                <w:color w:val="auto"/>
                <w:sz w:val="24"/>
                <w:szCs w:val="24"/>
                <w:highlight w:val="none"/>
                <w:lang w:val="en-US" w:eastAsia="zh-CN"/>
              </w:rPr>
              <w:t>四川省达州市宣汉县蒲江街道骏杰汽贸园二号楼</w:t>
            </w:r>
            <w:r>
              <w:rPr>
                <w:rFonts w:hint="default" w:ascii="Times New Roman" w:hAnsi="Times New Roman" w:eastAsia="宋体" w:cs="Times New Roman"/>
                <w:color w:val="auto"/>
                <w:sz w:val="24"/>
                <w:szCs w:val="24"/>
                <w:highlight w:val="none"/>
              </w:rPr>
              <w:t>，为了解区域环境空气质量现状，</w:t>
            </w:r>
            <w:r>
              <w:rPr>
                <w:color w:val="auto"/>
                <w:sz w:val="24"/>
                <w:szCs w:val="24"/>
                <w:highlight w:val="none"/>
              </w:rPr>
              <w:t>本次环评引用</w:t>
            </w:r>
            <w:r>
              <w:rPr>
                <w:color w:val="auto"/>
                <w:kern w:val="0"/>
                <w:sz w:val="24"/>
                <w:highlight w:val="none"/>
              </w:rPr>
              <w:t>《</w:t>
            </w:r>
            <w:r>
              <w:rPr>
                <w:rFonts w:hint="eastAsia"/>
                <w:color w:val="auto"/>
                <w:kern w:val="0"/>
                <w:sz w:val="24"/>
                <w:highlight w:val="none"/>
              </w:rPr>
              <w:t>宣汉县2021年</w:t>
            </w:r>
            <w:r>
              <w:rPr>
                <w:rFonts w:hint="eastAsia"/>
                <w:color w:val="auto"/>
                <w:kern w:val="0"/>
                <w:sz w:val="24"/>
                <w:highlight w:val="none"/>
                <w:lang w:val="en-US" w:eastAsia="zh-CN"/>
              </w:rPr>
              <w:t>度</w:t>
            </w:r>
            <w:r>
              <w:rPr>
                <w:rFonts w:hint="eastAsia"/>
                <w:color w:val="auto"/>
                <w:kern w:val="0"/>
                <w:sz w:val="24"/>
                <w:highlight w:val="none"/>
              </w:rPr>
              <w:t>环境质量公告</w:t>
            </w:r>
            <w:r>
              <w:rPr>
                <w:color w:val="auto"/>
                <w:kern w:val="0"/>
                <w:sz w:val="24"/>
                <w:highlight w:val="none"/>
              </w:rPr>
              <w:t>》</w:t>
            </w:r>
            <w:r>
              <w:rPr>
                <w:color w:val="auto"/>
                <w:sz w:val="24"/>
                <w:szCs w:val="24"/>
                <w:highlight w:val="none"/>
              </w:rPr>
              <w:t>中相关数据和结论</w:t>
            </w:r>
            <w:r>
              <w:rPr>
                <w:rFonts w:hint="default" w:ascii="Times New Roman" w:hAnsi="Times New Roman" w:eastAsia="宋体" w:cs="Times New Roman"/>
                <w:color w:val="auto"/>
                <w:sz w:val="24"/>
                <w:szCs w:val="24"/>
                <w:highlight w:val="none"/>
              </w:rPr>
              <w:t>，同时</w:t>
            </w:r>
            <w:r>
              <w:rPr>
                <w:rFonts w:hint="default" w:ascii="Times New Roman" w:hAnsi="Times New Roman" w:eastAsia="宋体" w:cs="Times New Roman"/>
                <w:color w:val="auto"/>
                <w:sz w:val="24"/>
                <w:szCs w:val="24"/>
                <w:highlight w:val="none"/>
                <w:lang w:val="en-US" w:eastAsia="zh-CN"/>
              </w:rPr>
              <w:t>委托达州恒福环境监测服务有限公司</w:t>
            </w:r>
            <w:r>
              <w:rPr>
                <w:rFonts w:hint="default" w:ascii="Times New Roman" w:hAnsi="Times New Roman" w:eastAsia="宋体" w:cs="Times New Roman"/>
                <w:color w:val="auto"/>
                <w:sz w:val="24"/>
                <w:szCs w:val="24"/>
                <w:highlight w:val="none"/>
              </w:rPr>
              <w:t>于202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10日~12日</w:t>
            </w:r>
            <w:r>
              <w:rPr>
                <w:rFonts w:hint="default" w:ascii="Times New Roman" w:hAnsi="Times New Roman" w:eastAsia="宋体" w:cs="Times New Roman"/>
                <w:color w:val="auto"/>
                <w:sz w:val="24"/>
                <w:szCs w:val="24"/>
                <w:highlight w:val="none"/>
              </w:rPr>
              <w:t>对区域其他污染物进行补充监测（恒福（环）检字（2023）第0030号）。</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196"/>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基本污染物现状</w:t>
            </w:r>
          </w:p>
          <w:p>
            <w:pPr>
              <w:keepNext w:val="0"/>
              <w:keepLines w:val="0"/>
              <w:pageBreakBefore w:val="0"/>
              <w:kinsoku/>
              <w:wordWrap/>
              <w:overflowPunct/>
              <w:topLinePunct w:val="0"/>
              <w:bidi w:val="0"/>
              <w:spacing w:line="360" w:lineRule="auto"/>
              <w:ind w:left="0" w:firstLine="470" w:firstLineChars="196"/>
              <w:rPr>
                <w:color w:val="auto"/>
                <w:sz w:val="24"/>
                <w:szCs w:val="24"/>
                <w:highlight w:val="none"/>
              </w:rPr>
            </w:pPr>
            <w:r>
              <w:rPr>
                <w:color w:val="auto"/>
                <w:sz w:val="24"/>
                <w:szCs w:val="24"/>
                <w:highlight w:val="none"/>
              </w:rPr>
              <w:t>根据《环境影响评价技术导则 大气环境》（HJ2.2-2018），空气质量达标区判定优先采用国家或地方生态环境主管部门公开发布的评价基准年环境质量公告或环境质量报告中的数据或结论，包括各评价因子的浓度、标准及达标判定结果等。本次评价采用达州市</w:t>
            </w:r>
            <w:r>
              <w:rPr>
                <w:rFonts w:hint="eastAsia"/>
                <w:color w:val="auto"/>
                <w:sz w:val="24"/>
                <w:szCs w:val="24"/>
                <w:highlight w:val="none"/>
                <w:lang w:val="en-US" w:eastAsia="zh-CN"/>
              </w:rPr>
              <w:t>宣汉</w:t>
            </w:r>
            <w:r>
              <w:rPr>
                <w:color w:val="auto"/>
                <w:sz w:val="24"/>
                <w:szCs w:val="24"/>
                <w:highlight w:val="none"/>
              </w:rPr>
              <w:t>生态环境局</w:t>
            </w:r>
            <w:r>
              <w:rPr>
                <w:rFonts w:hint="eastAsia"/>
                <w:color w:val="auto"/>
                <w:sz w:val="24"/>
                <w:szCs w:val="24"/>
                <w:highlight w:val="none"/>
                <w:lang w:val="en-US" w:eastAsia="zh-CN"/>
              </w:rPr>
              <w:t>2022</w:t>
            </w:r>
            <w:r>
              <w:rPr>
                <w:color w:val="auto"/>
                <w:sz w:val="24"/>
                <w:szCs w:val="24"/>
                <w:highlight w:val="none"/>
              </w:rPr>
              <w:t>年</w:t>
            </w:r>
            <w:r>
              <w:rPr>
                <w:rFonts w:hint="eastAsia"/>
                <w:color w:val="auto"/>
                <w:sz w:val="24"/>
                <w:szCs w:val="24"/>
                <w:highlight w:val="none"/>
                <w:lang w:val="en-US" w:eastAsia="zh-CN"/>
              </w:rPr>
              <w:t>2</w:t>
            </w:r>
            <w:r>
              <w:rPr>
                <w:color w:val="auto"/>
                <w:sz w:val="24"/>
                <w:szCs w:val="24"/>
                <w:highlight w:val="none"/>
              </w:rPr>
              <w:t>月公布的《</w:t>
            </w:r>
            <w:r>
              <w:rPr>
                <w:rFonts w:hint="eastAsia"/>
                <w:color w:val="auto"/>
                <w:kern w:val="0"/>
                <w:sz w:val="24"/>
                <w:highlight w:val="none"/>
                <w:lang w:eastAsia="zh-CN"/>
              </w:rPr>
              <w:t>宣汉县2021年度环境质量公告</w:t>
            </w:r>
            <w:r>
              <w:rPr>
                <w:color w:val="auto"/>
                <w:sz w:val="24"/>
                <w:szCs w:val="24"/>
                <w:highlight w:val="none"/>
              </w:rPr>
              <w:t>》中相关数据和结论。</w:t>
            </w:r>
          </w:p>
          <w:p>
            <w:pPr>
              <w:keepNext w:val="0"/>
              <w:keepLines w:val="0"/>
              <w:pageBreakBefore w:val="0"/>
              <w:kinsoku/>
              <w:wordWrap/>
              <w:overflowPunct/>
              <w:topLinePunct w:val="0"/>
              <w:bidi w:val="0"/>
              <w:spacing w:line="360" w:lineRule="auto"/>
              <w:ind w:left="0" w:firstLine="470" w:firstLineChars="196"/>
              <w:rPr>
                <w:rFonts w:hint="eastAsia"/>
                <w:color w:val="auto"/>
                <w:sz w:val="24"/>
                <w:szCs w:val="24"/>
                <w:highlight w:val="none"/>
              </w:rPr>
            </w:pPr>
            <w:r>
              <w:rPr>
                <w:color w:val="auto"/>
                <w:sz w:val="24"/>
                <w:szCs w:val="24"/>
                <w:highlight w:val="none"/>
              </w:rPr>
              <w:t>根据《</w:t>
            </w:r>
            <w:r>
              <w:rPr>
                <w:rFonts w:hint="eastAsia"/>
                <w:color w:val="auto"/>
                <w:kern w:val="0"/>
                <w:sz w:val="24"/>
                <w:highlight w:val="none"/>
                <w:lang w:eastAsia="zh-CN"/>
              </w:rPr>
              <w:t>宣汉县2021年度环境质量公告</w:t>
            </w:r>
            <w:r>
              <w:rPr>
                <w:color w:val="auto"/>
                <w:sz w:val="24"/>
                <w:szCs w:val="24"/>
                <w:highlight w:val="none"/>
              </w:rPr>
              <w:t>》：</w:t>
            </w:r>
            <w:r>
              <w:rPr>
                <w:rFonts w:hint="eastAsia"/>
                <w:color w:val="auto"/>
                <w:sz w:val="24"/>
                <w:szCs w:val="24"/>
                <w:highlight w:val="none"/>
              </w:rPr>
              <w:t>宣汉县20</w:t>
            </w:r>
            <w:r>
              <w:rPr>
                <w:rFonts w:hint="eastAsia"/>
                <w:color w:val="auto"/>
                <w:sz w:val="24"/>
                <w:szCs w:val="24"/>
                <w:highlight w:val="none"/>
                <w:lang w:val="en-US" w:eastAsia="zh-CN"/>
              </w:rPr>
              <w:t>21</w:t>
            </w:r>
            <w:r>
              <w:rPr>
                <w:rFonts w:hint="eastAsia"/>
                <w:color w:val="auto"/>
                <w:sz w:val="24"/>
                <w:szCs w:val="24"/>
                <w:highlight w:val="none"/>
              </w:rPr>
              <w:t>年1月1日至12月31日对城区环境空气质量进行了连续自动监测。全年有效监测天数</w:t>
            </w:r>
            <w:r>
              <w:rPr>
                <w:rFonts w:hint="eastAsia"/>
                <w:color w:val="auto"/>
                <w:sz w:val="24"/>
                <w:szCs w:val="24"/>
                <w:highlight w:val="none"/>
                <w:lang w:val="en-US" w:eastAsia="zh-CN"/>
              </w:rPr>
              <w:t>365</w:t>
            </w:r>
            <w:r>
              <w:rPr>
                <w:rFonts w:hint="eastAsia"/>
                <w:color w:val="auto"/>
                <w:sz w:val="24"/>
                <w:szCs w:val="24"/>
                <w:highlight w:val="none"/>
              </w:rPr>
              <w:t>天，达标天数3</w:t>
            </w:r>
            <w:r>
              <w:rPr>
                <w:rFonts w:hint="eastAsia"/>
                <w:color w:val="auto"/>
                <w:sz w:val="24"/>
                <w:szCs w:val="24"/>
                <w:highlight w:val="none"/>
                <w:lang w:val="en-US" w:eastAsia="zh-CN"/>
              </w:rPr>
              <w:t>41</w:t>
            </w:r>
            <w:r>
              <w:rPr>
                <w:rFonts w:hint="eastAsia"/>
                <w:color w:val="auto"/>
                <w:sz w:val="24"/>
                <w:szCs w:val="24"/>
                <w:highlight w:val="none"/>
              </w:rPr>
              <w:t>天，达标率为</w:t>
            </w:r>
            <w:r>
              <w:rPr>
                <w:rFonts w:hint="eastAsia"/>
                <w:color w:val="auto"/>
                <w:sz w:val="24"/>
                <w:szCs w:val="24"/>
                <w:highlight w:val="none"/>
                <w:lang w:val="en-US" w:eastAsia="zh-CN"/>
              </w:rPr>
              <w:t>93.4</w:t>
            </w:r>
            <w:r>
              <w:rPr>
                <w:rFonts w:hint="eastAsia"/>
                <w:color w:val="auto"/>
                <w:sz w:val="24"/>
                <w:szCs w:val="24"/>
                <w:highlight w:val="none"/>
              </w:rPr>
              <w:t>%。其中：优</w:t>
            </w:r>
            <w:r>
              <w:rPr>
                <w:rFonts w:hint="eastAsia"/>
                <w:color w:val="auto"/>
                <w:sz w:val="24"/>
                <w:szCs w:val="24"/>
                <w:highlight w:val="none"/>
                <w:lang w:val="en-US" w:eastAsia="zh-CN"/>
              </w:rPr>
              <w:t>237</w:t>
            </w:r>
            <w:r>
              <w:rPr>
                <w:rFonts w:hint="eastAsia"/>
                <w:color w:val="auto"/>
                <w:sz w:val="24"/>
                <w:szCs w:val="24"/>
                <w:highlight w:val="none"/>
              </w:rPr>
              <w:t>天，占</w:t>
            </w:r>
            <w:r>
              <w:rPr>
                <w:rFonts w:hint="eastAsia"/>
                <w:color w:val="auto"/>
                <w:sz w:val="24"/>
                <w:szCs w:val="24"/>
                <w:highlight w:val="none"/>
                <w:lang w:val="en-US" w:eastAsia="zh-CN"/>
              </w:rPr>
              <w:t>64.9</w:t>
            </w:r>
            <w:r>
              <w:rPr>
                <w:rFonts w:hint="eastAsia"/>
                <w:color w:val="auto"/>
                <w:sz w:val="24"/>
                <w:szCs w:val="24"/>
                <w:highlight w:val="none"/>
              </w:rPr>
              <w:t>%，良</w:t>
            </w:r>
            <w:r>
              <w:rPr>
                <w:rFonts w:hint="eastAsia"/>
                <w:color w:val="auto"/>
                <w:sz w:val="24"/>
                <w:szCs w:val="24"/>
                <w:highlight w:val="none"/>
                <w:lang w:val="en-US" w:eastAsia="zh-CN"/>
              </w:rPr>
              <w:t>104</w:t>
            </w:r>
            <w:r>
              <w:rPr>
                <w:rFonts w:hint="eastAsia"/>
                <w:color w:val="auto"/>
                <w:sz w:val="24"/>
                <w:szCs w:val="24"/>
                <w:highlight w:val="none"/>
              </w:rPr>
              <w:t>天，占</w:t>
            </w:r>
            <w:r>
              <w:rPr>
                <w:rFonts w:hint="eastAsia"/>
                <w:color w:val="auto"/>
                <w:sz w:val="24"/>
                <w:szCs w:val="24"/>
                <w:highlight w:val="none"/>
                <w:lang w:val="en-US" w:eastAsia="zh-CN"/>
              </w:rPr>
              <w:t>28.5</w:t>
            </w:r>
            <w:r>
              <w:rPr>
                <w:rFonts w:hint="eastAsia"/>
                <w:color w:val="auto"/>
                <w:sz w:val="24"/>
                <w:szCs w:val="24"/>
                <w:highlight w:val="none"/>
              </w:rPr>
              <w:t>%，轻度污染</w:t>
            </w:r>
            <w:r>
              <w:rPr>
                <w:rFonts w:hint="eastAsia"/>
                <w:color w:val="auto"/>
                <w:sz w:val="24"/>
                <w:szCs w:val="24"/>
                <w:highlight w:val="none"/>
                <w:lang w:val="en-US" w:eastAsia="zh-CN"/>
              </w:rPr>
              <w:t>21</w:t>
            </w:r>
            <w:r>
              <w:rPr>
                <w:rFonts w:hint="eastAsia"/>
                <w:color w:val="auto"/>
                <w:sz w:val="24"/>
                <w:szCs w:val="24"/>
                <w:highlight w:val="none"/>
              </w:rPr>
              <w:t>天，占</w:t>
            </w:r>
            <w:r>
              <w:rPr>
                <w:rFonts w:hint="eastAsia"/>
                <w:color w:val="auto"/>
                <w:sz w:val="24"/>
                <w:szCs w:val="24"/>
                <w:highlight w:val="none"/>
                <w:lang w:val="en-US" w:eastAsia="zh-CN"/>
              </w:rPr>
              <w:t>5.8</w:t>
            </w:r>
            <w:r>
              <w:rPr>
                <w:rFonts w:hint="eastAsia"/>
                <w:color w:val="auto"/>
                <w:sz w:val="24"/>
                <w:szCs w:val="24"/>
                <w:highlight w:val="none"/>
              </w:rPr>
              <w:t>%，中度污染</w:t>
            </w:r>
            <w:r>
              <w:rPr>
                <w:rFonts w:hint="eastAsia"/>
                <w:color w:val="auto"/>
                <w:sz w:val="24"/>
                <w:szCs w:val="24"/>
                <w:highlight w:val="none"/>
                <w:lang w:val="en-US" w:eastAsia="zh-CN"/>
              </w:rPr>
              <w:t>2</w:t>
            </w:r>
            <w:r>
              <w:rPr>
                <w:rFonts w:hint="eastAsia"/>
                <w:color w:val="auto"/>
                <w:sz w:val="24"/>
                <w:szCs w:val="24"/>
                <w:highlight w:val="none"/>
              </w:rPr>
              <w:t>天，占0.</w:t>
            </w:r>
            <w:r>
              <w:rPr>
                <w:rFonts w:hint="eastAsia"/>
                <w:color w:val="auto"/>
                <w:sz w:val="24"/>
                <w:szCs w:val="24"/>
                <w:highlight w:val="none"/>
                <w:lang w:val="en-US" w:eastAsia="zh-CN"/>
              </w:rPr>
              <w:t>5</w:t>
            </w:r>
            <w:r>
              <w:rPr>
                <w:rFonts w:hint="eastAsia"/>
                <w:color w:val="auto"/>
                <w:sz w:val="24"/>
                <w:szCs w:val="24"/>
                <w:highlight w:val="none"/>
              </w:rPr>
              <w:t>%，重度污染</w:t>
            </w:r>
            <w:r>
              <w:rPr>
                <w:rFonts w:hint="eastAsia"/>
                <w:color w:val="auto"/>
                <w:sz w:val="24"/>
                <w:szCs w:val="24"/>
                <w:highlight w:val="none"/>
                <w:lang w:val="en-US" w:eastAsia="zh-CN"/>
              </w:rPr>
              <w:t>1</w:t>
            </w:r>
            <w:r>
              <w:rPr>
                <w:rFonts w:hint="eastAsia"/>
                <w:color w:val="auto"/>
                <w:sz w:val="24"/>
                <w:szCs w:val="24"/>
                <w:highlight w:val="none"/>
              </w:rPr>
              <w:t>天，占0.</w:t>
            </w:r>
            <w:r>
              <w:rPr>
                <w:rFonts w:hint="eastAsia"/>
                <w:color w:val="auto"/>
                <w:sz w:val="24"/>
                <w:szCs w:val="24"/>
                <w:highlight w:val="none"/>
                <w:lang w:val="en-US" w:eastAsia="zh-CN"/>
              </w:rPr>
              <w:t>3</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color w:val="auto"/>
                <w:sz w:val="24"/>
                <w:szCs w:val="24"/>
                <w:highlight w:val="none"/>
              </w:rPr>
            </w:pPr>
            <w:r>
              <w:rPr>
                <w:rFonts w:hint="eastAsia"/>
                <w:color w:val="auto"/>
                <w:sz w:val="24"/>
                <w:szCs w:val="24"/>
                <w:highlight w:val="none"/>
              </w:rPr>
              <w:t>县城区二氧化硫年均值为</w:t>
            </w:r>
            <w:r>
              <w:rPr>
                <w:rFonts w:hint="eastAsia"/>
                <w:color w:val="auto"/>
                <w:sz w:val="24"/>
                <w:szCs w:val="24"/>
                <w:highlight w:val="none"/>
                <w:lang w:val="en-US" w:eastAsia="zh-CN"/>
              </w:rPr>
              <w:t>7</w:t>
            </w:r>
            <w:r>
              <w:rPr>
                <w:rFonts w:hint="eastAsia"/>
                <w:color w:val="auto"/>
                <w:sz w:val="24"/>
                <w:szCs w:val="24"/>
                <w:highlight w:val="none"/>
              </w:rPr>
              <w:t>微克/立方米，二氧化氮年均值为</w:t>
            </w:r>
            <w:r>
              <w:rPr>
                <w:rFonts w:hint="eastAsia"/>
                <w:color w:val="auto"/>
                <w:sz w:val="24"/>
                <w:szCs w:val="24"/>
                <w:highlight w:val="none"/>
                <w:lang w:val="en-US" w:eastAsia="zh-CN"/>
              </w:rPr>
              <w:t>19</w:t>
            </w:r>
            <w:r>
              <w:rPr>
                <w:rFonts w:hint="eastAsia"/>
                <w:color w:val="auto"/>
                <w:sz w:val="24"/>
                <w:szCs w:val="24"/>
                <w:highlight w:val="none"/>
              </w:rPr>
              <w:t>微克/立方米，可吸入颗粒物年均值为</w:t>
            </w:r>
            <w:r>
              <w:rPr>
                <w:rFonts w:hint="eastAsia"/>
                <w:color w:val="auto"/>
                <w:sz w:val="24"/>
                <w:szCs w:val="24"/>
                <w:highlight w:val="none"/>
                <w:lang w:val="en-US" w:eastAsia="zh-CN"/>
              </w:rPr>
              <w:t>43</w:t>
            </w:r>
            <w:r>
              <w:rPr>
                <w:rFonts w:hint="eastAsia"/>
                <w:color w:val="auto"/>
                <w:sz w:val="24"/>
                <w:szCs w:val="24"/>
                <w:highlight w:val="none"/>
              </w:rPr>
              <w:t>微克/立方米，细颗粒物年均值为</w:t>
            </w:r>
            <w:r>
              <w:rPr>
                <w:rFonts w:hint="eastAsia"/>
                <w:color w:val="auto"/>
                <w:sz w:val="24"/>
                <w:szCs w:val="24"/>
                <w:highlight w:val="none"/>
                <w:lang w:val="en-US" w:eastAsia="zh-CN"/>
              </w:rPr>
              <w:t>26</w:t>
            </w:r>
            <w:r>
              <w:rPr>
                <w:rFonts w:hint="eastAsia"/>
                <w:color w:val="auto"/>
                <w:sz w:val="24"/>
                <w:szCs w:val="24"/>
                <w:highlight w:val="none"/>
              </w:rPr>
              <w:t>微克/立方米，臭氧年均值为</w:t>
            </w:r>
            <w:r>
              <w:rPr>
                <w:rFonts w:hint="eastAsia"/>
                <w:color w:val="auto"/>
                <w:sz w:val="24"/>
                <w:szCs w:val="24"/>
                <w:highlight w:val="none"/>
                <w:lang w:val="en-US" w:eastAsia="zh-CN"/>
              </w:rPr>
              <w:t>74</w:t>
            </w:r>
            <w:r>
              <w:rPr>
                <w:rFonts w:hint="eastAsia"/>
                <w:color w:val="auto"/>
                <w:sz w:val="24"/>
                <w:szCs w:val="24"/>
                <w:highlight w:val="none"/>
              </w:rPr>
              <w:t>微克/立方米，一氧化碳年均值为1.</w:t>
            </w:r>
            <w:r>
              <w:rPr>
                <w:rFonts w:hint="eastAsia"/>
                <w:color w:val="auto"/>
                <w:sz w:val="24"/>
                <w:szCs w:val="24"/>
                <w:highlight w:val="none"/>
                <w:lang w:val="en-US" w:eastAsia="zh-CN"/>
              </w:rPr>
              <w:t>2</w:t>
            </w:r>
            <w:r>
              <w:rPr>
                <w:rFonts w:hint="eastAsia"/>
                <w:color w:val="auto"/>
                <w:sz w:val="24"/>
                <w:szCs w:val="24"/>
                <w:highlight w:val="none"/>
              </w:rPr>
              <w:t>毫克/立方米，宣汉县城区环境空气质量年均值达到《环境空气质量标准》（</w:t>
            </w:r>
            <w:r>
              <w:rPr>
                <w:color w:val="auto"/>
                <w:sz w:val="24"/>
                <w:szCs w:val="24"/>
                <w:highlight w:val="none"/>
              </w:rPr>
              <w:t>GB3095</w:t>
            </w:r>
            <w:r>
              <w:rPr>
                <w:rFonts w:hint="eastAsia"/>
                <w:color w:val="auto"/>
                <w:sz w:val="24"/>
                <w:szCs w:val="24"/>
                <w:highlight w:val="none"/>
              </w:rPr>
              <w:t>—2012）中二级标准。</w:t>
            </w:r>
          </w:p>
          <w:p>
            <w:pPr>
              <w:keepNext w:val="0"/>
              <w:keepLines w:val="0"/>
              <w:pageBreakBefore w:val="0"/>
              <w:kinsoku/>
              <w:wordWrap/>
              <w:overflowPunct/>
              <w:topLinePunct w:val="0"/>
              <w:bidi w:val="0"/>
              <w:spacing w:line="360" w:lineRule="auto"/>
              <w:ind w:left="0" w:firstLine="470" w:firstLineChars="196"/>
              <w:rPr>
                <w:rFonts w:hint="eastAsia"/>
                <w:color w:val="auto"/>
                <w:sz w:val="24"/>
                <w:szCs w:val="24"/>
                <w:highlight w:val="none"/>
                <w:lang w:val="en-US" w:eastAsia="zh-CN"/>
              </w:rPr>
            </w:pPr>
            <w:r>
              <w:rPr>
                <w:color w:val="auto"/>
                <w:sz w:val="24"/>
                <w:szCs w:val="24"/>
                <w:highlight w:val="none"/>
              </w:rPr>
              <w:t>项目位于</w:t>
            </w:r>
            <w:r>
              <w:rPr>
                <w:rFonts w:hint="eastAsia"/>
                <w:color w:val="auto"/>
                <w:sz w:val="24"/>
                <w:szCs w:val="24"/>
                <w:highlight w:val="none"/>
              </w:rPr>
              <w:t>四川省达州市宣汉县</w:t>
            </w:r>
            <w:r>
              <w:rPr>
                <w:rFonts w:hint="eastAsia" w:cs="Times New Roman"/>
                <w:color w:val="auto"/>
                <w:sz w:val="24"/>
                <w:szCs w:val="24"/>
                <w:highlight w:val="none"/>
                <w:lang w:val="en-US" w:eastAsia="zh-CN"/>
              </w:rPr>
              <w:t>蒲江街道骏杰汽贸园二号楼</w:t>
            </w:r>
            <w:r>
              <w:rPr>
                <w:color w:val="auto"/>
                <w:sz w:val="24"/>
                <w:szCs w:val="24"/>
                <w:highlight w:val="none"/>
              </w:rPr>
              <w:t>，</w:t>
            </w:r>
            <w:r>
              <w:rPr>
                <w:rFonts w:hint="eastAsia"/>
                <w:color w:val="auto"/>
                <w:sz w:val="24"/>
                <w:szCs w:val="24"/>
                <w:highlight w:val="none"/>
                <w:lang w:val="en-US" w:eastAsia="zh-CN"/>
              </w:rPr>
              <w:t>根据</w:t>
            </w:r>
            <w:r>
              <w:rPr>
                <w:color w:val="auto"/>
                <w:sz w:val="24"/>
                <w:szCs w:val="24"/>
                <w:highlight w:val="none"/>
              </w:rPr>
              <w:t>《</w:t>
            </w:r>
            <w:r>
              <w:rPr>
                <w:rFonts w:hint="eastAsia"/>
                <w:color w:val="auto"/>
                <w:kern w:val="0"/>
                <w:sz w:val="24"/>
                <w:highlight w:val="none"/>
                <w:lang w:eastAsia="zh-CN"/>
              </w:rPr>
              <w:t>宣汉县2021年度环境质量公告</w:t>
            </w:r>
            <w:r>
              <w:rPr>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lang w:val="en-US" w:eastAsia="zh-CN"/>
              </w:rPr>
              <w:t>项目所在区域为环境空气质量达标区域，项目所在地空气环境质量基本符合《环境空气质量标准》</w:t>
            </w:r>
            <w:r>
              <w:rPr>
                <w:rFonts w:hint="eastAsia"/>
                <w:color w:val="auto"/>
                <w:sz w:val="24"/>
                <w:szCs w:val="24"/>
                <w:highlight w:val="none"/>
              </w:rPr>
              <w:t>（</w:t>
            </w:r>
            <w:r>
              <w:rPr>
                <w:rFonts w:hint="eastAsia"/>
                <w:color w:val="auto"/>
                <w:sz w:val="24"/>
                <w:szCs w:val="24"/>
                <w:highlight w:val="none"/>
                <w:lang w:val="en-US" w:eastAsia="zh-CN"/>
              </w:rPr>
              <w:t>GB3095-2012</w:t>
            </w:r>
            <w:r>
              <w:rPr>
                <w:rFonts w:hint="eastAsia"/>
                <w:color w:val="auto"/>
                <w:sz w:val="24"/>
                <w:szCs w:val="24"/>
                <w:highlight w:val="none"/>
              </w:rPr>
              <w:t>）</w:t>
            </w:r>
            <w:r>
              <w:rPr>
                <w:rFonts w:hint="eastAsia"/>
                <w:color w:val="auto"/>
                <w:sz w:val="24"/>
                <w:szCs w:val="24"/>
                <w:highlight w:val="none"/>
                <w:lang w:val="en-US" w:eastAsia="zh-CN"/>
              </w:rPr>
              <w:t>中二级标准，环境空气质量良好。</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361" w:firstLineChars="150"/>
              <w:textAlignment w:val="auto"/>
              <w:rPr>
                <w:rFonts w:hint="default" w:ascii="Times New Roman" w:hAnsi="Times New Roman" w:eastAsia="宋体" w:cs="Times New Roman"/>
                <w:b/>
                <w:color w:val="auto"/>
                <w:kern w:val="24"/>
                <w:sz w:val="24"/>
                <w:szCs w:val="24"/>
                <w:highlight w:val="none"/>
              </w:rPr>
            </w:pPr>
            <w:r>
              <w:rPr>
                <w:rFonts w:hint="default" w:ascii="Times New Roman" w:hAnsi="Times New Roman" w:eastAsia="宋体" w:cs="Times New Roman"/>
                <w:b/>
                <w:color w:val="auto"/>
                <w:kern w:val="24"/>
                <w:sz w:val="24"/>
                <w:szCs w:val="24"/>
                <w:highlight w:val="none"/>
              </w:rPr>
              <w:t>（2）其他污染物现状</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1）其他污染物现状监测</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①监测点位</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本次环评</w:t>
            </w:r>
            <w:r>
              <w:rPr>
                <w:rFonts w:hint="eastAsia"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环境空气监测点1个，监测点位基本信息见表3-</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jc w:val="center"/>
              <w:textAlignment w:val="auto"/>
              <w:rPr>
                <w:rFonts w:hint="default" w:ascii="Times New Roman" w:hAnsi="Times New Roman" w:eastAsia="黑体" w:cs="Times New Roman"/>
                <w:color w:val="auto"/>
                <w:sz w:val="21"/>
                <w:szCs w:val="21"/>
                <w:highlight w:val="none"/>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jc w:val="center"/>
              <w:textAlignment w:val="auto"/>
              <w:rPr>
                <w:rFonts w:hint="default" w:ascii="Times New Roman" w:hAnsi="Times New Roman" w:eastAsia="黑体" w:cs="Times New Roman"/>
                <w:color w:val="auto"/>
                <w:sz w:val="21"/>
                <w:szCs w:val="21"/>
                <w:highlight w:val="none"/>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表3-</w:t>
            </w:r>
            <w:r>
              <w:rPr>
                <w:rFonts w:hint="default" w:ascii="Times New Roman" w:hAnsi="Times New Roman" w:eastAsia="黑体" w:cs="Times New Roman"/>
                <w:color w:val="auto"/>
                <w:sz w:val="21"/>
                <w:szCs w:val="21"/>
                <w:highlight w:val="none"/>
                <w:lang w:val="en-US" w:eastAsia="zh-CN"/>
              </w:rPr>
              <w:t>1</w:t>
            </w:r>
            <w:r>
              <w:rPr>
                <w:rFonts w:hint="default" w:ascii="Times New Roman" w:hAnsi="Times New Roman" w:eastAsia="黑体" w:cs="Times New Roman"/>
                <w:color w:val="auto"/>
                <w:sz w:val="21"/>
                <w:szCs w:val="21"/>
                <w:highlight w:val="none"/>
              </w:rPr>
              <w:t xml:space="preserve"> 其他污染物监测点位基本信息</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6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03"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编号</w:t>
                  </w:r>
                </w:p>
              </w:tc>
              <w:tc>
                <w:tcPr>
                  <w:tcW w:w="3796"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监测点位置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G1</w:t>
                  </w:r>
                </w:p>
              </w:tc>
              <w:tc>
                <w:tcPr>
                  <w:tcW w:w="3796"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项目所在地下风向</w:t>
                  </w:r>
                  <w:r>
                    <w:rPr>
                      <w:rFonts w:hint="eastAsia" w:ascii="Times New Roman" w:hAnsi="Times New Roman" w:cs="Times New Roman"/>
                      <w:b w:val="0"/>
                      <w:bCs w:val="0"/>
                      <w:color w:val="auto"/>
                      <w:sz w:val="21"/>
                      <w:szCs w:val="21"/>
                      <w:highlight w:val="none"/>
                      <w:lang w:val="en-US" w:eastAsia="zh-CN"/>
                    </w:rPr>
                    <w:t>（居民点处）</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②监测因子</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NH</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、H</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③监测时段</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10日~12日</w:t>
            </w:r>
            <w:r>
              <w:rPr>
                <w:rFonts w:hint="default" w:ascii="Times New Roman" w:hAnsi="Times New Roman" w:eastAsia="宋体" w:cs="Times New Roman"/>
                <w:color w:val="auto"/>
                <w:sz w:val="24"/>
                <w:szCs w:val="24"/>
                <w:highlight w:val="none"/>
              </w:rPr>
              <w:t>，共</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天。</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④监测结果</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区域环境空气质量现状监测结果见表3-</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表3-</w:t>
            </w:r>
            <w:r>
              <w:rPr>
                <w:rFonts w:hint="default"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rPr>
              <w:t xml:space="preserve"> 环境空气质量现状监测结果</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199"/>
              <w:gridCol w:w="1499"/>
              <w:gridCol w:w="1057"/>
              <w:gridCol w:w="1057"/>
              <w:gridCol w:w="1057"/>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Ansi="宋体"/>
                      <w:b/>
                      <w:bCs/>
                      <w:color w:val="auto"/>
                      <w:sz w:val="21"/>
                      <w:szCs w:val="21"/>
                      <w:highlight w:val="none"/>
                    </w:rPr>
                  </w:pPr>
                  <w:r>
                    <w:rPr>
                      <w:rFonts w:hAnsi="宋体"/>
                      <w:b/>
                      <w:bCs/>
                      <w:color w:val="auto"/>
                      <w:sz w:val="21"/>
                      <w:szCs w:val="21"/>
                      <w:highlight w:val="none"/>
                    </w:rPr>
                    <w:t>检测点编号及位置</w:t>
                  </w:r>
                </w:p>
              </w:tc>
              <w:tc>
                <w:tcPr>
                  <w:tcW w:w="609"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Ansi="宋体"/>
                      <w:b/>
                      <w:bCs/>
                      <w:color w:val="auto"/>
                      <w:sz w:val="21"/>
                      <w:szCs w:val="21"/>
                      <w:highlight w:val="none"/>
                    </w:rPr>
                  </w:pPr>
                  <w:r>
                    <w:rPr>
                      <w:b/>
                      <w:color w:val="auto"/>
                      <w:sz w:val="21"/>
                      <w:szCs w:val="21"/>
                      <w:highlight w:val="none"/>
                    </w:rPr>
                    <w:t>检测因子</w:t>
                  </w:r>
                </w:p>
              </w:tc>
              <w:tc>
                <w:tcPr>
                  <w:tcW w:w="761"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Ansi="宋体"/>
                      <w:b/>
                      <w:bCs/>
                      <w:color w:val="auto"/>
                      <w:sz w:val="21"/>
                      <w:szCs w:val="21"/>
                      <w:highlight w:val="none"/>
                    </w:rPr>
                  </w:pPr>
                  <w:r>
                    <w:rPr>
                      <w:rFonts w:hint="eastAsia" w:hAnsi="宋体"/>
                      <w:b/>
                      <w:bCs/>
                      <w:color w:val="auto"/>
                      <w:sz w:val="21"/>
                      <w:szCs w:val="21"/>
                      <w:highlight w:val="none"/>
                    </w:rPr>
                    <w:t>采样日期</w:t>
                  </w:r>
                </w:p>
              </w:tc>
              <w:tc>
                <w:tcPr>
                  <w:tcW w:w="2149" w:type="pct"/>
                  <w:gridSpan w:val="4"/>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highlight w:val="none"/>
                    </w:rPr>
                  </w:pPr>
                  <w:r>
                    <w:rPr>
                      <w:rFonts w:hint="eastAsia" w:hAnsi="宋体"/>
                      <w:b/>
                      <w:bCs/>
                      <w:color w:val="auto"/>
                      <w:sz w:val="21"/>
                      <w:szCs w:val="21"/>
                      <w:highlight w:val="none"/>
                    </w:rPr>
                    <w:t>检测</w:t>
                  </w:r>
                  <w:r>
                    <w:rPr>
                      <w:rFonts w:hAnsi="宋体"/>
                      <w:b/>
                      <w:bCs/>
                      <w:color w:val="auto"/>
                      <w:sz w:val="21"/>
                      <w:szCs w:val="21"/>
                      <w:highlight w:val="none"/>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color w:val="auto"/>
                      <w:sz w:val="21"/>
                      <w:szCs w:val="21"/>
                      <w:highlight w:val="none"/>
                    </w:rPr>
                  </w:pPr>
                </w:p>
              </w:tc>
              <w:tc>
                <w:tcPr>
                  <w:tcW w:w="60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color w:val="auto"/>
                      <w:sz w:val="21"/>
                      <w:szCs w:val="21"/>
                      <w:highlight w:val="none"/>
                    </w:rPr>
                  </w:pPr>
                </w:p>
              </w:tc>
              <w:tc>
                <w:tcPr>
                  <w:tcW w:w="761"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color w:val="auto"/>
                      <w:sz w:val="21"/>
                      <w:szCs w:val="21"/>
                      <w:highlight w:val="none"/>
                    </w:rPr>
                  </w:pP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color w:val="auto"/>
                      <w:sz w:val="21"/>
                      <w:szCs w:val="21"/>
                      <w:highlight w:val="none"/>
                    </w:rPr>
                  </w:pPr>
                  <w:r>
                    <w:rPr>
                      <w:rFonts w:hint="eastAsia"/>
                      <w:b/>
                      <w:color w:val="auto"/>
                      <w:sz w:val="21"/>
                      <w:szCs w:val="21"/>
                      <w:highlight w:val="none"/>
                    </w:rPr>
                    <w:t>第一次</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color w:val="auto"/>
                      <w:sz w:val="21"/>
                      <w:szCs w:val="21"/>
                      <w:highlight w:val="none"/>
                    </w:rPr>
                  </w:pPr>
                  <w:r>
                    <w:rPr>
                      <w:rFonts w:hint="eastAsia"/>
                      <w:b/>
                      <w:color w:val="auto"/>
                      <w:sz w:val="21"/>
                      <w:szCs w:val="21"/>
                      <w:highlight w:val="none"/>
                    </w:rPr>
                    <w:t>第二次</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color w:val="auto"/>
                      <w:sz w:val="21"/>
                      <w:szCs w:val="21"/>
                      <w:highlight w:val="none"/>
                    </w:rPr>
                  </w:pPr>
                  <w:r>
                    <w:rPr>
                      <w:rFonts w:hint="eastAsia"/>
                      <w:b/>
                      <w:color w:val="auto"/>
                      <w:sz w:val="21"/>
                      <w:szCs w:val="21"/>
                      <w:highlight w:val="none"/>
                    </w:rPr>
                    <w:t>第三次</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color w:val="auto"/>
                      <w:sz w:val="21"/>
                      <w:szCs w:val="21"/>
                      <w:highlight w:val="none"/>
                    </w:rPr>
                  </w:pPr>
                  <w:r>
                    <w:rPr>
                      <w:rFonts w:hint="eastAsia"/>
                      <w:b/>
                      <w:color w:val="auto"/>
                      <w:sz w:val="21"/>
                      <w:szCs w:val="21"/>
                      <w:highlight w:val="none"/>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G1，项目所在地下风向（居民点处）</w:t>
                  </w:r>
                </w:p>
              </w:tc>
              <w:tc>
                <w:tcPr>
                  <w:tcW w:w="609"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highlight w:val="none"/>
                    </w:rPr>
                  </w:pPr>
                  <w:r>
                    <w:rPr>
                      <w:rFonts w:hint="eastAsia"/>
                      <w:color w:val="auto"/>
                      <w:sz w:val="21"/>
                      <w:szCs w:val="21"/>
                      <w:highlight w:val="none"/>
                    </w:rPr>
                    <w:t>氨</w:t>
                  </w:r>
                </w:p>
              </w:tc>
              <w:tc>
                <w:tcPr>
                  <w:tcW w:w="76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highlight w:val="none"/>
                    </w:rPr>
                  </w:pPr>
                  <w:r>
                    <w:rPr>
                      <w:rFonts w:cs="宋体"/>
                      <w:color w:val="auto"/>
                      <w:sz w:val="21"/>
                      <w:szCs w:val="21"/>
                      <w:highlight w:val="none"/>
                    </w:rPr>
                    <w:t>202</w:t>
                  </w:r>
                  <w:r>
                    <w:rPr>
                      <w:rFonts w:hint="eastAsia" w:cs="宋体"/>
                      <w:color w:val="auto"/>
                      <w:sz w:val="21"/>
                      <w:szCs w:val="21"/>
                      <w:highlight w:val="none"/>
                    </w:rPr>
                    <w:t>3.01.10</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0.13</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0.10</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p>
              </w:tc>
              <w:tc>
                <w:tcPr>
                  <w:tcW w:w="60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highlight w:val="none"/>
                    </w:rPr>
                  </w:pPr>
                </w:p>
              </w:tc>
              <w:tc>
                <w:tcPr>
                  <w:tcW w:w="76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highlight w:val="none"/>
                    </w:rPr>
                  </w:pPr>
                  <w:r>
                    <w:rPr>
                      <w:rFonts w:cs="宋体"/>
                      <w:color w:val="auto"/>
                      <w:sz w:val="21"/>
                      <w:szCs w:val="21"/>
                      <w:highlight w:val="none"/>
                    </w:rPr>
                    <w:t>202</w:t>
                  </w:r>
                  <w:r>
                    <w:rPr>
                      <w:rFonts w:hint="eastAsia" w:cs="宋体"/>
                      <w:color w:val="auto"/>
                      <w:sz w:val="21"/>
                      <w:szCs w:val="21"/>
                      <w:highlight w:val="none"/>
                    </w:rPr>
                    <w:t>3.01.11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0.09</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0.07</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p>
              </w:tc>
              <w:tc>
                <w:tcPr>
                  <w:tcW w:w="60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highlight w:val="none"/>
                    </w:rPr>
                  </w:pPr>
                </w:p>
              </w:tc>
              <w:tc>
                <w:tcPr>
                  <w:tcW w:w="76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highlight w:val="none"/>
                    </w:rPr>
                  </w:pPr>
                  <w:r>
                    <w:rPr>
                      <w:rFonts w:cs="宋体"/>
                      <w:color w:val="auto"/>
                      <w:sz w:val="21"/>
                      <w:szCs w:val="21"/>
                      <w:highlight w:val="none"/>
                    </w:rPr>
                    <w:t>202</w:t>
                  </w:r>
                  <w:r>
                    <w:rPr>
                      <w:rFonts w:hint="eastAsia" w:cs="宋体"/>
                      <w:color w:val="auto"/>
                      <w:sz w:val="21"/>
                      <w:szCs w:val="21"/>
                      <w:highlight w:val="none"/>
                    </w:rPr>
                    <w:t>3.01.12</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0.07</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0.08</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0.12</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highlight w:val="none"/>
                    </w:rPr>
                  </w:pPr>
                  <w:r>
                    <w:rPr>
                      <w:rFonts w:hint="eastAsia"/>
                      <w:color w:val="auto"/>
                      <w:sz w:val="21"/>
                      <w:szCs w:val="21"/>
                      <w:highlight w:val="none"/>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p>
              </w:tc>
              <w:tc>
                <w:tcPr>
                  <w:tcW w:w="609"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硫化氢</w:t>
                  </w:r>
                </w:p>
              </w:tc>
              <w:tc>
                <w:tcPr>
                  <w:tcW w:w="76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highlight w:val="none"/>
                    </w:rPr>
                  </w:pPr>
                  <w:r>
                    <w:rPr>
                      <w:rFonts w:cs="宋体"/>
                      <w:color w:val="auto"/>
                      <w:sz w:val="21"/>
                      <w:szCs w:val="21"/>
                      <w:highlight w:val="none"/>
                    </w:rPr>
                    <w:t>202</w:t>
                  </w:r>
                  <w:r>
                    <w:rPr>
                      <w:rFonts w:hint="eastAsia" w:cs="宋体"/>
                      <w:color w:val="auto"/>
                      <w:sz w:val="21"/>
                      <w:szCs w:val="21"/>
                      <w:highlight w:val="none"/>
                    </w:rPr>
                    <w:t>3.01.10</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未检出</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未检出</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0.001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p>
              </w:tc>
              <w:tc>
                <w:tcPr>
                  <w:tcW w:w="60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highlight w:val="none"/>
                    </w:rPr>
                  </w:pPr>
                </w:p>
              </w:tc>
              <w:tc>
                <w:tcPr>
                  <w:tcW w:w="76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highlight w:val="none"/>
                    </w:rPr>
                  </w:pPr>
                  <w:r>
                    <w:rPr>
                      <w:rFonts w:cs="宋体"/>
                      <w:color w:val="auto"/>
                      <w:sz w:val="21"/>
                      <w:szCs w:val="21"/>
                      <w:highlight w:val="none"/>
                    </w:rPr>
                    <w:t>202</w:t>
                  </w:r>
                  <w:r>
                    <w:rPr>
                      <w:rFonts w:hint="eastAsia" w:cs="宋体"/>
                      <w:color w:val="auto"/>
                      <w:sz w:val="21"/>
                      <w:szCs w:val="21"/>
                      <w:highlight w:val="none"/>
                    </w:rPr>
                    <w:t>3.01.11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0.001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0.002</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0.001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p>
              </w:tc>
              <w:tc>
                <w:tcPr>
                  <w:tcW w:w="609"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highlight w:val="none"/>
                    </w:rPr>
                  </w:pPr>
                </w:p>
              </w:tc>
              <w:tc>
                <w:tcPr>
                  <w:tcW w:w="76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highlight w:val="none"/>
                    </w:rPr>
                  </w:pPr>
                  <w:r>
                    <w:rPr>
                      <w:rFonts w:cs="宋体"/>
                      <w:color w:val="auto"/>
                      <w:sz w:val="21"/>
                      <w:szCs w:val="21"/>
                      <w:highlight w:val="none"/>
                    </w:rPr>
                    <w:t>202</w:t>
                  </w:r>
                  <w:r>
                    <w:rPr>
                      <w:rFonts w:hint="eastAsia" w:cs="宋体"/>
                      <w:color w:val="auto"/>
                      <w:sz w:val="21"/>
                      <w:szCs w:val="21"/>
                      <w:highlight w:val="none"/>
                    </w:rPr>
                    <w:t>3.01.12</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未检出</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0.001</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未检出</w:t>
                  </w:r>
                </w:p>
              </w:tc>
              <w:tc>
                <w:tcPr>
                  <w:tcW w:w="5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highlight w:val="none"/>
                    </w:rPr>
                  </w:pPr>
                  <w:r>
                    <w:rPr>
                      <w:rFonts w:hint="eastAsia"/>
                      <w:color w:val="auto"/>
                      <w:sz w:val="21"/>
                      <w:szCs w:val="21"/>
                      <w:highlight w:val="none"/>
                    </w:rPr>
                    <w:t>0.001</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2）其他污染物现状评价</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①评价因子</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NH</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、H</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②评价标准</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执行《环境影响评价技术导则 大气环境》（HJ2.2-2018）附录D</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③评价方法</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采用单项质量指数法，公式为：</w:t>
            </w:r>
          </w:p>
          <w:p>
            <w:pPr>
              <w:keepNext w:val="0"/>
              <w:keepLines w:val="0"/>
              <w:pageBreakBefore w:val="0"/>
              <w:kinsoku/>
              <w:wordWrap/>
              <w:overflowPunct/>
              <w:topLinePunct w:val="0"/>
              <w:autoSpaceDE/>
              <w:autoSpaceDN/>
              <w:bidi w:val="0"/>
              <w:adjustRightInd/>
              <w:snapToGrid/>
              <w:spacing w:beforeAutospacing="0" w:afterAutospacing="0" w:line="360" w:lineRule="auto"/>
              <w:ind w:left="0"/>
              <w:jc w:val="center"/>
              <w:textAlignment w:val="auto"/>
              <w:rPr>
                <w:rFonts w:hint="default" w:ascii="Times New Roman" w:hAnsi="Times New Roman" w:eastAsia="宋体" w:cs="Times New Roman"/>
                <w:i/>
                <w:color w:val="auto"/>
                <w:sz w:val="24"/>
                <w:szCs w:val="24"/>
                <w:highlight w:val="none"/>
              </w:rPr>
            </w:pP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 xml:space="preserve"> = </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 xml:space="preserve"> / </w:t>
            </w:r>
            <w:r>
              <w:rPr>
                <w:rFonts w:hint="default" w:ascii="Times New Roman" w:hAnsi="Times New Roman" w:eastAsia="宋体" w:cs="Times New Roman"/>
                <w:i/>
                <w:color w:val="auto"/>
                <w:sz w:val="24"/>
                <w:szCs w:val="24"/>
                <w:highlight w:val="none"/>
              </w:rPr>
              <w:t>S</w:t>
            </w:r>
            <w:r>
              <w:rPr>
                <w:rFonts w:hint="default" w:ascii="Times New Roman" w:hAnsi="Times New Roman" w:eastAsia="宋体" w:cs="Times New Roman"/>
                <w:i/>
                <w:color w:val="auto"/>
                <w:sz w:val="24"/>
                <w:szCs w:val="24"/>
                <w:highlight w:val="none"/>
                <w:vertAlign w:val="subscript"/>
              </w:rPr>
              <w:t>i</w:t>
            </w:r>
          </w:p>
          <w:p>
            <w:pPr>
              <w:pStyle w:val="10"/>
              <w:keepNext w:val="0"/>
              <w:keepLines w:val="0"/>
              <w:pageBreakBefore w:val="0"/>
              <w:kinsoku/>
              <w:wordWrap/>
              <w:overflowPunct/>
              <w:topLinePunct w:val="0"/>
              <w:autoSpaceDE/>
              <w:autoSpaceDN/>
              <w:bidi w:val="0"/>
              <w:adjustRightInd/>
              <w:snapToGrid/>
              <w:spacing w:beforeAutospacing="0" w:after="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i/>
                <w:color w:val="auto"/>
                <w:sz w:val="24"/>
                <w:szCs w:val="24"/>
                <w:highlight w:val="none"/>
              </w:rPr>
              <w:t>i</w:t>
            </w:r>
            <w:r>
              <w:rPr>
                <w:rFonts w:hint="default" w:ascii="Times New Roman" w:hAnsi="Times New Roman" w:eastAsia="宋体" w:cs="Times New Roman"/>
                <w:color w:val="auto"/>
                <w:sz w:val="24"/>
                <w:szCs w:val="24"/>
                <w:highlight w:val="none"/>
              </w:rPr>
              <w:t>个污染物标准指数值；</w:t>
            </w:r>
          </w:p>
          <w:p>
            <w:pPr>
              <w:pStyle w:val="10"/>
              <w:keepNext w:val="0"/>
              <w:keepLines w:val="0"/>
              <w:pageBreakBefore w:val="0"/>
              <w:kinsoku/>
              <w:wordWrap/>
              <w:overflowPunct/>
              <w:topLinePunct w:val="0"/>
              <w:autoSpaceDE/>
              <w:autoSpaceDN/>
              <w:bidi w:val="0"/>
              <w:adjustRightInd/>
              <w:snapToGrid/>
              <w:spacing w:beforeAutospacing="0" w:after="0" w:afterAutospacing="0" w:line="360" w:lineRule="auto"/>
              <w:ind w:lef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i/>
                <w:color w:val="auto"/>
                <w:sz w:val="24"/>
                <w:szCs w:val="24"/>
                <w:highlight w:val="none"/>
              </w:rPr>
              <w:t>i</w:t>
            </w:r>
            <w:r>
              <w:rPr>
                <w:rFonts w:hint="default" w:ascii="Times New Roman" w:hAnsi="Times New Roman" w:eastAsia="宋体" w:cs="Times New Roman"/>
                <w:color w:val="auto"/>
                <w:sz w:val="24"/>
                <w:szCs w:val="24"/>
                <w:highlight w:val="none"/>
              </w:rPr>
              <w:t>个污染物实测浓度值，mg/m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pStyle w:val="10"/>
              <w:keepNext w:val="0"/>
              <w:keepLines w:val="0"/>
              <w:pageBreakBefore w:val="0"/>
              <w:kinsoku/>
              <w:wordWrap/>
              <w:overflowPunct/>
              <w:topLinePunct w:val="0"/>
              <w:autoSpaceDE/>
              <w:autoSpaceDN/>
              <w:bidi w:val="0"/>
              <w:adjustRightInd/>
              <w:snapToGrid/>
              <w:spacing w:beforeAutospacing="0" w:after="0" w:afterAutospacing="0" w:line="360" w:lineRule="auto"/>
              <w:ind w:lef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S</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i/>
                <w:color w:val="auto"/>
                <w:sz w:val="24"/>
                <w:szCs w:val="24"/>
                <w:highlight w:val="none"/>
              </w:rPr>
              <w:t>i</w:t>
            </w:r>
            <w:r>
              <w:rPr>
                <w:rFonts w:hint="default" w:ascii="Times New Roman" w:hAnsi="Times New Roman" w:eastAsia="宋体" w:cs="Times New Roman"/>
                <w:color w:val="auto"/>
                <w:sz w:val="24"/>
                <w:szCs w:val="24"/>
                <w:highlight w:val="none"/>
              </w:rPr>
              <w:t>个污染物评价标准限值，mg/m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pStyle w:val="10"/>
              <w:keepNext w:val="0"/>
              <w:keepLines w:val="0"/>
              <w:pageBreakBefore w:val="0"/>
              <w:kinsoku/>
              <w:wordWrap/>
              <w:overflowPunct/>
              <w:topLinePunct w:val="0"/>
              <w:autoSpaceDE/>
              <w:autoSpaceDN/>
              <w:bidi w:val="0"/>
              <w:adjustRightInd/>
              <w:snapToGrid/>
              <w:spacing w:beforeAutospacing="0" w:after="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值大于1.0时，表明大气环境已受到该项评价因子所表征的污染物的污染。</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值越大，受污染程度越重；</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值越小，受污染程度越轻。</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④评价结果</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区域环境空气其他污染物现状评价结果见表3-</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表3-</w:t>
            </w:r>
            <w:r>
              <w:rPr>
                <w:rFonts w:hint="default" w:ascii="Times New Roman" w:hAnsi="Times New Roman"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rPr>
              <w:t xml:space="preserve"> 其他污染物现状评价结果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184"/>
              <w:gridCol w:w="1387"/>
              <w:gridCol w:w="1699"/>
              <w:gridCol w:w="1541"/>
              <w:gridCol w:w="1079"/>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5"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53"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平均时间</w:t>
                  </w:r>
                </w:p>
              </w:tc>
              <w:tc>
                <w:tcPr>
                  <w:tcW w:w="765"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937"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监测浓度范围（mg/m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850"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最大浓度占标率（%）</w:t>
                  </w:r>
                </w:p>
              </w:tc>
              <w:tc>
                <w:tcPr>
                  <w:tcW w:w="595"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超标率（%）</w:t>
                  </w:r>
                </w:p>
              </w:tc>
              <w:tc>
                <w:tcPr>
                  <w:tcW w:w="641"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p>
              </w:tc>
              <w:tc>
                <w:tcPr>
                  <w:tcW w:w="653"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h平均</w:t>
                  </w:r>
                </w:p>
              </w:tc>
              <w:tc>
                <w:tcPr>
                  <w:tcW w:w="765"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937"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0.07~0.14</w:t>
                  </w:r>
                </w:p>
              </w:tc>
              <w:tc>
                <w:tcPr>
                  <w:tcW w:w="850"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95"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41"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noWrap w:val="0"/>
                  <w:vAlign w:val="center"/>
                </w:tcPr>
                <w:p>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w:t>
                  </w:r>
                </w:p>
              </w:tc>
              <w:tc>
                <w:tcPr>
                  <w:tcW w:w="653"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h平均</w:t>
                  </w:r>
                </w:p>
              </w:tc>
              <w:tc>
                <w:tcPr>
                  <w:tcW w:w="765"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937"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r>
                    <w:rPr>
                      <w:rFonts w:hint="eastAsia"/>
                      <w:color w:val="auto"/>
                      <w:sz w:val="21"/>
                      <w:szCs w:val="21"/>
                      <w:highlight w:val="none"/>
                    </w:rPr>
                    <w:t>0.002</w:t>
                  </w:r>
                </w:p>
              </w:tc>
              <w:tc>
                <w:tcPr>
                  <w:tcW w:w="850"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595"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641"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bl>
          <w:p>
            <w:pPr>
              <w:keepNext w:val="0"/>
              <w:keepLines w:val="0"/>
              <w:pageBreakBefore w:val="0"/>
              <w:kinsoku/>
              <w:wordWrap/>
              <w:overflowPunct/>
              <w:topLinePunct w:val="0"/>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结果表明，现状监测期间，评价区域环境空气中H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满足《环境影响评价技术导则 大气环境》（HJ2.2-2018）附录D中的浓度限值标准要求。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地表水环境质量现状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color w:val="auto"/>
                <w:sz w:val="24"/>
                <w:szCs w:val="24"/>
                <w:highlight w:val="none"/>
              </w:rPr>
            </w:pPr>
            <w:r>
              <w:rPr>
                <w:rFonts w:hint="eastAsia" w:cs="Times New Roman"/>
                <w:color w:val="auto"/>
                <w:sz w:val="24"/>
                <w:szCs w:val="24"/>
                <w:highlight w:val="none"/>
                <w:lang w:val="en-US" w:eastAsia="zh-CN"/>
              </w:rPr>
              <w:t>本项目污水经一体化污水处理设施处理达</w:t>
            </w:r>
            <w:r>
              <w:rPr>
                <w:rFonts w:hint="eastAsia" w:cs="Times New Roman"/>
                <w:color w:val="auto"/>
                <w:sz w:val="24"/>
                <w:szCs w:val="36"/>
                <w:highlight w:val="none"/>
                <w:vertAlign w:val="baseline"/>
                <w:lang w:val="en-US" w:eastAsia="zh-CN"/>
              </w:rPr>
              <w:t>《医疗机构水污染物排放标准》（GB18466-2005）表2预处理标准</w:t>
            </w:r>
            <w:r>
              <w:rPr>
                <w:rFonts w:hint="eastAsia" w:cs="Times New Roman"/>
                <w:color w:val="auto"/>
                <w:sz w:val="24"/>
                <w:szCs w:val="24"/>
                <w:highlight w:val="none"/>
                <w:lang w:val="en-US" w:eastAsia="zh-CN"/>
              </w:rPr>
              <w:t>后</w:t>
            </w:r>
            <w:r>
              <w:rPr>
                <w:rFonts w:hint="eastAsia" w:cs="Times New Roman"/>
                <w:color w:val="auto"/>
                <w:sz w:val="24"/>
                <w:szCs w:val="36"/>
                <w:highlight w:val="none"/>
                <w:vertAlign w:val="baseline"/>
                <w:lang w:val="en-US" w:eastAsia="zh-CN"/>
              </w:rPr>
              <w:t>，进入宣汉县城市生活污水处理厂处理，处理达标后排入州河。为了解</w:t>
            </w:r>
            <w:r>
              <w:rPr>
                <w:rFonts w:hint="eastAsia"/>
                <w:color w:val="auto"/>
                <w:sz w:val="24"/>
                <w:szCs w:val="24"/>
                <w:highlight w:val="none"/>
              </w:rPr>
              <w:t>区域</w:t>
            </w:r>
            <w:r>
              <w:rPr>
                <w:rFonts w:hint="eastAsia"/>
                <w:color w:val="auto"/>
                <w:sz w:val="24"/>
                <w:szCs w:val="24"/>
                <w:highlight w:val="none"/>
                <w:lang w:val="en-US" w:eastAsia="zh-CN"/>
              </w:rPr>
              <w:t>州河水质，</w:t>
            </w:r>
            <w:r>
              <w:rPr>
                <w:rFonts w:hint="eastAsia" w:cs="Times New Roman"/>
                <w:color w:val="auto"/>
                <w:sz w:val="24"/>
                <w:szCs w:val="36"/>
                <w:highlight w:val="none"/>
                <w:vertAlign w:val="baseline"/>
                <w:lang w:val="en-US" w:eastAsia="zh-CN"/>
              </w:rPr>
              <w:t>本次水环境质量评价引用达州市宣汉生态环境局2022年2月</w:t>
            </w:r>
            <w:r>
              <w:rPr>
                <w:color w:val="auto"/>
                <w:sz w:val="24"/>
                <w:szCs w:val="24"/>
                <w:highlight w:val="none"/>
              </w:rPr>
              <w:t>公布的《</w:t>
            </w:r>
            <w:r>
              <w:rPr>
                <w:rFonts w:hint="eastAsia"/>
                <w:color w:val="auto"/>
                <w:kern w:val="0"/>
                <w:sz w:val="24"/>
                <w:highlight w:val="none"/>
                <w:lang w:eastAsia="zh-CN"/>
              </w:rPr>
              <w:t>宣汉县2021年度环境质量公告</w:t>
            </w:r>
            <w:r>
              <w:rPr>
                <w:color w:val="auto"/>
                <w:sz w:val="24"/>
                <w:szCs w:val="24"/>
                <w:highlight w:val="none"/>
              </w:rPr>
              <w:t>》</w:t>
            </w:r>
            <w:r>
              <w:rPr>
                <w:rFonts w:hint="eastAsia" w:cs="Times New Roman"/>
                <w:color w:val="auto"/>
                <w:sz w:val="24"/>
                <w:szCs w:val="36"/>
                <w:highlight w:val="none"/>
                <w:vertAlign w:val="baseline"/>
                <w:lang w:val="en-US" w:eastAsia="zh-CN"/>
              </w:rPr>
              <w:t>中水环境质量的</w:t>
            </w:r>
            <w:r>
              <w:rPr>
                <w:color w:val="auto"/>
                <w:sz w:val="24"/>
                <w:szCs w:val="24"/>
                <w:highlight w:val="none"/>
              </w:rPr>
              <w:t>数据和结论。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cs="Times New Roman"/>
                <w:color w:val="auto"/>
                <w:sz w:val="24"/>
                <w:szCs w:val="36"/>
                <w:highlight w:val="none"/>
                <w:vertAlign w:val="baseline"/>
                <w:lang w:val="en-US" w:eastAsia="zh-CN"/>
              </w:rPr>
            </w:pPr>
            <w:r>
              <w:rPr>
                <w:rFonts w:hint="eastAsia" w:cs="Times New Roman"/>
                <w:color w:val="auto"/>
                <w:sz w:val="24"/>
                <w:szCs w:val="36"/>
                <w:highlight w:val="none"/>
                <w:vertAlign w:val="baseline"/>
                <w:lang w:val="en-US" w:eastAsia="zh-CN"/>
              </w:rPr>
              <w:t>根据</w:t>
            </w:r>
            <w:r>
              <w:rPr>
                <w:color w:val="auto"/>
                <w:sz w:val="24"/>
                <w:szCs w:val="24"/>
                <w:highlight w:val="none"/>
              </w:rPr>
              <w:t>《</w:t>
            </w:r>
            <w:r>
              <w:rPr>
                <w:rFonts w:hint="eastAsia"/>
                <w:color w:val="auto"/>
                <w:kern w:val="0"/>
                <w:sz w:val="24"/>
                <w:highlight w:val="none"/>
                <w:lang w:eastAsia="zh-CN"/>
              </w:rPr>
              <w:t>宣汉县2021年度环境质量公告</w:t>
            </w:r>
            <w:r>
              <w:rPr>
                <w:color w:val="auto"/>
                <w:sz w:val="24"/>
                <w:szCs w:val="24"/>
                <w:highlight w:val="none"/>
              </w:rPr>
              <w:t>》</w:t>
            </w:r>
            <w:r>
              <w:rPr>
                <w:rFonts w:hint="eastAsia" w:cs="Times New Roman"/>
                <w:color w:val="auto"/>
                <w:sz w:val="24"/>
                <w:szCs w:val="36"/>
                <w:highlight w:val="none"/>
                <w:vertAlign w:val="baseline"/>
                <w:lang w:val="en-US" w:eastAsia="zh-CN"/>
              </w:rPr>
              <w:t>可知，宣汉县域内3个市级、2个县级河长制河流水质均符合《地表水环境质量标准》（GB3838-2002）中III类水质标准，水质状况为良好。</w:t>
            </w:r>
          </w:p>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3、声环境质量现状</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为了解区域声环境质量现状，本次环评委托达州恒福环境监测服务有限公司</w:t>
            </w:r>
            <w:r>
              <w:rPr>
                <w:rFonts w:hint="eastAsia" w:cs="Times New Roman"/>
                <w:color w:val="auto"/>
                <w:sz w:val="24"/>
                <w:szCs w:val="24"/>
                <w:highlight w:val="none"/>
                <w:lang w:val="en-US" w:eastAsia="zh-CN"/>
              </w:rPr>
              <w:t>于2023年1月11日</w:t>
            </w:r>
            <w:r>
              <w:rPr>
                <w:rFonts w:hint="default" w:ascii="Times New Roman" w:hAnsi="Times New Roman" w:eastAsia="宋体" w:cs="Times New Roman"/>
                <w:color w:val="auto"/>
                <w:sz w:val="24"/>
                <w:szCs w:val="24"/>
                <w:highlight w:val="none"/>
              </w:rPr>
              <w:t>对区域声环境质量进行监测。</w:t>
            </w:r>
          </w:p>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①监测点位</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本次环评共</w:t>
            </w:r>
            <w:r>
              <w:rPr>
                <w:rFonts w:hint="eastAsia" w:cs="Times New Roman"/>
                <w:color w:val="auto"/>
                <w:sz w:val="24"/>
                <w:szCs w:val="24"/>
                <w:highlight w:val="none"/>
                <w:lang w:val="en-US" w:eastAsia="zh-CN"/>
              </w:rPr>
              <w:t>设置</w:t>
            </w:r>
            <w:r>
              <w:rPr>
                <w:rFonts w:hint="default" w:ascii="Times New Roman" w:hAnsi="Times New Roman" w:cs="Times New Roman"/>
                <w:color w:val="auto"/>
                <w:sz w:val="24"/>
                <w:szCs w:val="24"/>
                <w:highlight w:val="none"/>
              </w:rPr>
              <w:t>噪声监测点</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个，监测点位置见表3-</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w:t>
            </w:r>
            <w:r>
              <w:rPr>
                <w:rFonts w:hint="eastAsia" w:eastAsia="黑体" w:cs="Times New Roman"/>
                <w:b w:val="0"/>
                <w:bCs w:val="0"/>
                <w:color w:val="auto"/>
                <w:sz w:val="21"/>
                <w:szCs w:val="21"/>
                <w:highlight w:val="none"/>
                <w:lang w:val="en-US" w:eastAsia="zh-CN"/>
              </w:rPr>
              <w:t>4</w:t>
            </w:r>
            <w:r>
              <w:rPr>
                <w:rFonts w:hint="default" w:ascii="Times New Roman" w:hAnsi="Times New Roman" w:eastAsia="黑体" w:cs="Times New Roman"/>
                <w:b w:val="0"/>
                <w:bCs w:val="0"/>
                <w:color w:val="auto"/>
                <w:sz w:val="21"/>
                <w:szCs w:val="21"/>
                <w:highlight w:val="none"/>
                <w:lang w:val="en-US" w:eastAsia="zh-CN"/>
              </w:rPr>
              <w:t xml:space="preserve"> 噪声监测点位表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360"/>
              <w:gridCol w:w="1361"/>
              <w:gridCol w:w="1361"/>
              <w:gridCol w:w="1361"/>
              <w:gridCol w:w="136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75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75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751"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p>
              </w:tc>
              <w:tc>
                <w:tcPr>
                  <w:tcW w:w="751" w:type="pct"/>
                  <w:vAlign w:val="top"/>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4#</w:t>
                  </w:r>
                </w:p>
              </w:tc>
              <w:tc>
                <w:tcPr>
                  <w:tcW w:w="751" w:type="pct"/>
                  <w:vAlign w:val="center"/>
                </w:tcPr>
                <w:p>
                  <w:pPr>
                    <w:spacing w:line="240" w:lineRule="auto"/>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5#</w:t>
                  </w:r>
                </w:p>
              </w:tc>
              <w:tc>
                <w:tcPr>
                  <w:tcW w:w="752"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eastAsia"/>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监测点名称</w:t>
                  </w:r>
                </w:p>
              </w:tc>
              <w:tc>
                <w:tcPr>
                  <w:tcW w:w="751"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项目北侧场界外</w:t>
                  </w:r>
                </w:p>
              </w:tc>
              <w:tc>
                <w:tcPr>
                  <w:tcW w:w="751" w:type="pct"/>
                  <w:vAlign w:val="top"/>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项目东侧场界外</w:t>
                  </w:r>
                </w:p>
              </w:tc>
              <w:tc>
                <w:tcPr>
                  <w:tcW w:w="751" w:type="pct"/>
                  <w:vAlign w:val="center"/>
                </w:tcPr>
                <w:p>
                  <w:pPr>
                    <w:spacing w:line="240" w:lineRule="auto"/>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1"/>
                      <w:highlight w:val="none"/>
                    </w:rPr>
                    <w:t>项目南侧场界外</w:t>
                  </w:r>
                </w:p>
              </w:tc>
              <w:tc>
                <w:tcPr>
                  <w:tcW w:w="751" w:type="pct"/>
                  <w:vAlign w:val="center"/>
                </w:tcPr>
                <w:p>
                  <w:pPr>
                    <w:spacing w:line="240" w:lineRule="auto"/>
                    <w:jc w:val="center"/>
                    <w:rPr>
                      <w:rFonts w:hint="eastAsia"/>
                      <w:color w:val="auto"/>
                      <w:szCs w:val="21"/>
                      <w:highlight w:val="none"/>
                    </w:rPr>
                  </w:pPr>
                  <w:r>
                    <w:rPr>
                      <w:rFonts w:hint="eastAsia"/>
                      <w:color w:val="auto"/>
                      <w:szCs w:val="21"/>
                      <w:highlight w:val="none"/>
                    </w:rPr>
                    <w:t>项目西侧场界外</w:t>
                  </w:r>
                </w:p>
              </w:tc>
              <w:tc>
                <w:tcPr>
                  <w:tcW w:w="751" w:type="pct"/>
                  <w:vAlign w:val="center"/>
                </w:tcPr>
                <w:p>
                  <w:pPr>
                    <w:spacing w:line="240" w:lineRule="auto"/>
                    <w:jc w:val="center"/>
                    <w:rPr>
                      <w:rFonts w:hint="eastAsia"/>
                      <w:color w:val="auto"/>
                      <w:szCs w:val="21"/>
                      <w:highlight w:val="none"/>
                    </w:rPr>
                  </w:pPr>
                  <w:r>
                    <w:rPr>
                      <w:rFonts w:hint="eastAsia"/>
                      <w:color w:val="auto"/>
                      <w:szCs w:val="21"/>
                      <w:highlight w:val="none"/>
                    </w:rPr>
                    <w:t>项目北侧场界外商住户</w:t>
                  </w:r>
                </w:p>
              </w:tc>
              <w:tc>
                <w:tcPr>
                  <w:tcW w:w="752" w:type="pct"/>
                  <w:vAlign w:val="center"/>
                </w:tcPr>
                <w:p>
                  <w:pPr>
                    <w:spacing w:line="240" w:lineRule="auto"/>
                    <w:jc w:val="center"/>
                    <w:rPr>
                      <w:rFonts w:hint="eastAsia"/>
                      <w:color w:val="auto"/>
                      <w:szCs w:val="21"/>
                      <w:highlight w:val="none"/>
                    </w:rPr>
                  </w:pPr>
                  <w:r>
                    <w:rPr>
                      <w:rFonts w:hint="eastAsia"/>
                      <w:color w:val="auto"/>
                      <w:szCs w:val="21"/>
                      <w:highlight w:val="none"/>
                    </w:rPr>
                    <w:t>项目西南侧书店</w:t>
                  </w:r>
                </w:p>
              </w:tc>
            </w:tr>
          </w:tbl>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②监测时间</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2023年1月11日</w:t>
            </w:r>
            <w:r>
              <w:rPr>
                <w:rFonts w:hint="default" w:ascii="Times New Roman" w:hAnsi="Times New Roman" w:cs="Times New Roman"/>
                <w:color w:val="auto"/>
                <w:sz w:val="24"/>
                <w:szCs w:val="24"/>
                <w:highlight w:val="none"/>
              </w:rPr>
              <w:t>，共监测1天，昼夜各监测1次。</w:t>
            </w:r>
          </w:p>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③评价标准</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zh-CN"/>
              </w:rPr>
              <w:t>执行《声环境质量标准》（GB3096-2008）2类标准</w:t>
            </w:r>
            <w:r>
              <w:rPr>
                <w:rFonts w:hint="default" w:ascii="Times New Roman" w:hAnsi="Times New Roman" w:cs="Times New Roman"/>
                <w:color w:val="auto"/>
                <w:sz w:val="24"/>
                <w:szCs w:val="24"/>
                <w:highlight w:val="none"/>
              </w:rPr>
              <w:t>。</w:t>
            </w:r>
          </w:p>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④评价结果</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声环境质量现状评价结果见表3-</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w:t>
            </w:r>
            <w:r>
              <w:rPr>
                <w:rFonts w:hint="eastAsia" w:eastAsia="黑体" w:cs="Times New Roman"/>
                <w:b w:val="0"/>
                <w:bCs w:val="0"/>
                <w:color w:val="auto"/>
                <w:sz w:val="21"/>
                <w:szCs w:val="21"/>
                <w:highlight w:val="none"/>
                <w:lang w:val="en-US" w:eastAsia="zh-CN"/>
              </w:rPr>
              <w:t xml:space="preserve">5 </w:t>
            </w:r>
            <w:r>
              <w:rPr>
                <w:rFonts w:hint="default" w:ascii="Times New Roman" w:hAnsi="Times New Roman" w:eastAsia="黑体" w:cs="Times New Roman"/>
                <w:b w:val="0"/>
                <w:bCs w:val="0"/>
                <w:color w:val="auto"/>
                <w:sz w:val="21"/>
                <w:szCs w:val="21"/>
                <w:highlight w:val="none"/>
                <w:lang w:val="en-US" w:eastAsia="zh-CN"/>
              </w:rPr>
              <w:t xml:space="preserve"> 声环境质量现状评价结果</w:t>
            </w:r>
            <w:r>
              <w:rPr>
                <w:rFonts w:hint="eastAsia" w:eastAsia="黑体" w:cs="Times New Roman"/>
                <w:b w:val="0"/>
                <w:bCs w:val="0"/>
                <w:color w:val="auto"/>
                <w:sz w:val="21"/>
                <w:szCs w:val="21"/>
                <w:highlight w:val="none"/>
                <w:lang w:val="en-US" w:eastAsia="zh-CN"/>
              </w:rPr>
              <w:t xml:space="preserve">  单位：dB（A）</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685"/>
              <w:gridCol w:w="2016"/>
              <w:gridCol w:w="1328"/>
              <w:gridCol w:w="739"/>
              <w:gridCol w:w="739"/>
              <w:gridCol w:w="1304"/>
              <w:gridCol w:w="752"/>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Cs w:val="21"/>
                      <w:highlight w:val="none"/>
                    </w:rPr>
                  </w:pPr>
                  <w:r>
                    <w:rPr>
                      <w:b/>
                      <w:bCs/>
                      <w:color w:val="auto"/>
                      <w:szCs w:val="21"/>
                      <w:highlight w:val="none"/>
                    </w:rPr>
                    <w:t>检测日期</w:t>
                  </w:r>
                </w:p>
              </w:tc>
              <w:tc>
                <w:tcPr>
                  <w:tcW w:w="378" w:type="pct"/>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
                      <w:bCs/>
                      <w:color w:val="auto"/>
                      <w:sz w:val="21"/>
                      <w:szCs w:val="21"/>
                      <w:highlight w:val="none"/>
                    </w:rPr>
                  </w:pPr>
                  <w:r>
                    <w:rPr>
                      <w:rFonts w:cs="Times New Roman"/>
                      <w:b/>
                      <w:bCs/>
                      <w:color w:val="auto"/>
                      <w:sz w:val="21"/>
                      <w:szCs w:val="21"/>
                      <w:highlight w:val="none"/>
                    </w:rPr>
                    <w:t>检测</w:t>
                  </w:r>
                </w:p>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
                      <w:bCs/>
                      <w:snapToGrid w:val="0"/>
                      <w:color w:val="auto"/>
                      <w:sz w:val="21"/>
                      <w:szCs w:val="21"/>
                      <w:highlight w:val="none"/>
                    </w:rPr>
                  </w:pPr>
                  <w:r>
                    <w:rPr>
                      <w:rFonts w:cs="Times New Roman"/>
                      <w:b/>
                      <w:bCs/>
                      <w:color w:val="auto"/>
                      <w:sz w:val="21"/>
                      <w:szCs w:val="21"/>
                      <w:highlight w:val="none"/>
                    </w:rPr>
                    <w:t>因子</w:t>
                  </w:r>
                </w:p>
              </w:tc>
              <w:tc>
                <w:tcPr>
                  <w:tcW w:w="1113" w:type="pct"/>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
                      <w:bCs/>
                      <w:color w:val="auto"/>
                      <w:sz w:val="21"/>
                      <w:szCs w:val="21"/>
                      <w:highlight w:val="none"/>
                    </w:rPr>
                  </w:pPr>
                  <w:r>
                    <w:rPr>
                      <w:rFonts w:cs="Times New Roman"/>
                      <w:b/>
                      <w:bCs/>
                      <w:color w:val="auto"/>
                      <w:sz w:val="21"/>
                      <w:szCs w:val="21"/>
                      <w:highlight w:val="none"/>
                    </w:rPr>
                    <w:t>检测点编号及位置</w:t>
                  </w:r>
                </w:p>
              </w:tc>
              <w:tc>
                <w:tcPr>
                  <w:tcW w:w="1549" w:type="pct"/>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Cs w:val="21"/>
                      <w:highlight w:val="none"/>
                    </w:rPr>
                  </w:pPr>
                  <w:r>
                    <w:rPr>
                      <w:b/>
                      <w:bCs/>
                      <w:color w:val="auto"/>
                      <w:szCs w:val="21"/>
                      <w:highlight w:val="none"/>
                    </w:rPr>
                    <w:t>昼间</w:t>
                  </w:r>
                </w:p>
              </w:tc>
              <w:tc>
                <w:tcPr>
                  <w:tcW w:w="1550" w:type="pct"/>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Cs w:val="21"/>
                      <w:highlight w:val="none"/>
                    </w:rPr>
                  </w:pPr>
                  <w:r>
                    <w:rPr>
                      <w:b/>
                      <w:bCs/>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Cs w:val="21"/>
                      <w:highlight w:val="none"/>
                    </w:rPr>
                  </w:pPr>
                </w:p>
              </w:tc>
              <w:tc>
                <w:tcPr>
                  <w:tcW w:w="378" w:type="pct"/>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
                      <w:bCs/>
                      <w:color w:val="auto"/>
                      <w:sz w:val="21"/>
                      <w:szCs w:val="21"/>
                      <w:highlight w:val="none"/>
                    </w:rPr>
                  </w:pPr>
                </w:p>
              </w:tc>
              <w:tc>
                <w:tcPr>
                  <w:tcW w:w="1113" w:type="pct"/>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
                      <w:bCs/>
                      <w:color w:val="auto"/>
                      <w:sz w:val="21"/>
                      <w:szCs w:val="21"/>
                      <w:highlight w:val="none"/>
                    </w:rPr>
                  </w:pPr>
                </w:p>
              </w:tc>
              <w:tc>
                <w:tcPr>
                  <w:tcW w:w="73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Cs w:val="21"/>
                      <w:highlight w:val="none"/>
                    </w:rPr>
                  </w:pPr>
                  <w:r>
                    <w:rPr>
                      <w:rFonts w:hint="eastAsia"/>
                      <w:b/>
                      <w:color w:val="auto"/>
                      <w:szCs w:val="21"/>
                      <w:highlight w:val="none"/>
                    </w:rPr>
                    <w:t>检测时段</w:t>
                  </w:r>
                </w:p>
              </w:tc>
              <w:tc>
                <w:tcPr>
                  <w:tcW w:w="408"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Cs w:val="21"/>
                      <w:highlight w:val="none"/>
                    </w:rPr>
                  </w:pPr>
                  <w:r>
                    <w:rPr>
                      <w:rFonts w:hint="eastAsia"/>
                      <w:b/>
                      <w:bCs/>
                      <w:color w:val="auto"/>
                      <w:szCs w:val="21"/>
                      <w:highlight w:val="none"/>
                    </w:rPr>
                    <w:t>检测结果</w:t>
                  </w:r>
                </w:p>
              </w:tc>
              <w:tc>
                <w:tcPr>
                  <w:tcW w:w="408"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bCs/>
                      <w:color w:val="auto"/>
                      <w:szCs w:val="21"/>
                      <w:highlight w:val="none"/>
                    </w:rPr>
                  </w:pPr>
                  <w:r>
                    <w:rPr>
                      <w:rFonts w:hint="default" w:ascii="Times New Roman" w:hAnsi="Times New Roman" w:cs="Times New Roman"/>
                      <w:b/>
                      <w:bCs/>
                      <w:color w:val="auto"/>
                      <w:sz w:val="21"/>
                      <w:szCs w:val="21"/>
                      <w:highlight w:val="none"/>
                    </w:rPr>
                    <w:t>标准限值</w:t>
                  </w:r>
                </w:p>
              </w:tc>
              <w:tc>
                <w:tcPr>
                  <w:tcW w:w="720"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Cs w:val="21"/>
                      <w:highlight w:val="none"/>
                    </w:rPr>
                  </w:pPr>
                  <w:r>
                    <w:rPr>
                      <w:rFonts w:hint="eastAsia"/>
                      <w:b/>
                      <w:color w:val="auto"/>
                      <w:szCs w:val="21"/>
                      <w:highlight w:val="none"/>
                    </w:rPr>
                    <w:t>检测时段</w:t>
                  </w:r>
                </w:p>
              </w:tc>
              <w:tc>
                <w:tcPr>
                  <w:tcW w:w="415"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Cs w:val="21"/>
                      <w:highlight w:val="none"/>
                    </w:rPr>
                  </w:pPr>
                  <w:r>
                    <w:rPr>
                      <w:rFonts w:hint="eastAsia"/>
                      <w:b/>
                      <w:bCs/>
                      <w:color w:val="auto"/>
                      <w:szCs w:val="21"/>
                      <w:highlight w:val="none"/>
                    </w:rPr>
                    <w:t>检测结果</w:t>
                  </w:r>
                </w:p>
              </w:tc>
              <w:tc>
                <w:tcPr>
                  <w:tcW w:w="415"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bCs/>
                      <w:color w:val="auto"/>
                      <w:szCs w:val="21"/>
                      <w:highlight w:val="none"/>
                    </w:rPr>
                  </w:pPr>
                  <w:r>
                    <w:rPr>
                      <w:rFonts w:hint="default" w:ascii="Times New Roman" w:hAnsi="Times New Roman" w:cs="Times New Roman"/>
                      <w:b/>
                      <w:bCs/>
                      <w:color w:val="auto"/>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napToGrid w:val="0"/>
                      <w:color w:val="auto"/>
                      <w:szCs w:val="21"/>
                      <w:highlight w:val="none"/>
                    </w:rPr>
                  </w:pPr>
                  <w:r>
                    <w:rPr>
                      <w:bCs/>
                      <w:color w:val="auto"/>
                      <w:szCs w:val="21"/>
                      <w:highlight w:val="none"/>
                    </w:rPr>
                    <w:t>202</w:t>
                  </w:r>
                  <w:r>
                    <w:rPr>
                      <w:rFonts w:hint="eastAsia"/>
                      <w:bCs/>
                      <w:color w:val="auto"/>
                      <w:szCs w:val="21"/>
                      <w:highlight w:val="none"/>
                    </w:rPr>
                    <w:t>3.01.11</w:t>
                  </w:r>
                </w:p>
              </w:tc>
              <w:tc>
                <w:tcPr>
                  <w:tcW w:w="378"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napToGrid w:val="0"/>
                      <w:color w:val="auto"/>
                      <w:szCs w:val="21"/>
                      <w:highlight w:val="none"/>
                    </w:rPr>
                  </w:pPr>
                  <w:r>
                    <w:rPr>
                      <w:snapToGrid w:val="0"/>
                      <w:color w:val="auto"/>
                      <w:szCs w:val="21"/>
                      <w:highlight w:val="none"/>
                    </w:rPr>
                    <w:t>L</w:t>
                  </w:r>
                  <w:r>
                    <w:rPr>
                      <w:snapToGrid w:val="0"/>
                      <w:color w:val="auto"/>
                      <w:szCs w:val="21"/>
                      <w:highlight w:val="none"/>
                      <w:vertAlign w:val="subscript"/>
                    </w:rPr>
                    <w:t>eq</w:t>
                  </w:r>
                </w:p>
              </w:tc>
              <w:tc>
                <w:tcPr>
                  <w:tcW w:w="111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Cs w:val="21"/>
                      <w:highlight w:val="none"/>
                    </w:rPr>
                  </w:pPr>
                  <w:r>
                    <w:rPr>
                      <w:rFonts w:hint="eastAsia"/>
                      <w:color w:val="auto"/>
                      <w:szCs w:val="21"/>
                      <w:highlight w:val="none"/>
                    </w:rPr>
                    <w:t>1#，项目北侧场界外</w:t>
                  </w:r>
                </w:p>
              </w:tc>
              <w:tc>
                <w:tcPr>
                  <w:tcW w:w="733"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Cs/>
                      <w:color w:val="auto"/>
                      <w:sz w:val="21"/>
                      <w:szCs w:val="21"/>
                      <w:highlight w:val="none"/>
                    </w:rPr>
                  </w:pPr>
                  <w:r>
                    <w:rPr>
                      <w:rFonts w:hint="eastAsia" w:cs="Times New Roman"/>
                      <w:bCs/>
                      <w:color w:val="auto"/>
                      <w:sz w:val="21"/>
                      <w:szCs w:val="21"/>
                      <w:highlight w:val="none"/>
                    </w:rPr>
                    <w:t>09:41-09:51</w:t>
                  </w:r>
                </w:p>
              </w:tc>
              <w:tc>
                <w:tcPr>
                  <w:tcW w:w="408"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Cs/>
                      <w:color w:val="auto"/>
                      <w:sz w:val="21"/>
                      <w:szCs w:val="21"/>
                      <w:highlight w:val="none"/>
                    </w:rPr>
                  </w:pPr>
                  <w:r>
                    <w:rPr>
                      <w:rFonts w:hint="eastAsia" w:cs="Times New Roman"/>
                      <w:bCs/>
                      <w:color w:val="auto"/>
                      <w:sz w:val="21"/>
                      <w:szCs w:val="21"/>
                      <w:highlight w:val="none"/>
                    </w:rPr>
                    <w:t>54</w:t>
                  </w:r>
                </w:p>
              </w:tc>
              <w:tc>
                <w:tcPr>
                  <w:tcW w:w="408"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default"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720"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Cs/>
                      <w:color w:val="auto"/>
                      <w:sz w:val="21"/>
                      <w:szCs w:val="21"/>
                      <w:highlight w:val="none"/>
                    </w:rPr>
                  </w:pPr>
                  <w:r>
                    <w:rPr>
                      <w:rFonts w:hint="eastAsia" w:cs="Times New Roman"/>
                      <w:bCs/>
                      <w:color w:val="auto"/>
                      <w:sz w:val="21"/>
                      <w:szCs w:val="21"/>
                      <w:highlight w:val="none"/>
                    </w:rPr>
                    <w:t>22:00-22:10</w:t>
                  </w:r>
                </w:p>
              </w:tc>
              <w:tc>
                <w:tcPr>
                  <w:tcW w:w="415"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cs="Times New Roman"/>
                      <w:bCs/>
                      <w:color w:val="auto"/>
                      <w:sz w:val="21"/>
                      <w:szCs w:val="21"/>
                      <w:highlight w:val="none"/>
                    </w:rPr>
                  </w:pPr>
                  <w:r>
                    <w:rPr>
                      <w:rFonts w:hint="eastAsia" w:cs="Times New Roman"/>
                      <w:bCs/>
                      <w:color w:val="auto"/>
                      <w:sz w:val="21"/>
                      <w:szCs w:val="21"/>
                      <w:highlight w:val="none"/>
                    </w:rPr>
                    <w:t>44</w:t>
                  </w:r>
                </w:p>
              </w:tc>
              <w:tc>
                <w:tcPr>
                  <w:tcW w:w="415" w:type="pct"/>
                  <w:noWrap w:val="0"/>
                  <w:vAlign w:val="center"/>
                </w:tcPr>
                <w:p>
                  <w:pPr>
                    <w:keepNext w:val="0"/>
                    <w:keepLines w:val="0"/>
                    <w:pageBreakBefore w:val="0"/>
                    <w:kinsoku/>
                    <w:wordWrap/>
                    <w:overflowPunct/>
                    <w:topLinePunct w:val="0"/>
                    <w:bidi w:val="0"/>
                    <w:spacing w:line="240" w:lineRule="auto"/>
                    <w:ind w:left="0" w:leftChars="0"/>
                    <w:jc w:val="center"/>
                    <w:textAlignment w:val="auto"/>
                    <w:rPr>
                      <w:rFonts w:hint="eastAsia" w:cs="Times New Roman"/>
                      <w:bCs/>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Cs w:val="21"/>
                      <w:highlight w:val="none"/>
                    </w:rPr>
                  </w:pP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napToGrid w:val="0"/>
                      <w:color w:val="auto"/>
                      <w:szCs w:val="21"/>
                      <w:highlight w:val="none"/>
                    </w:rPr>
                  </w:pPr>
                </w:p>
              </w:tc>
              <w:tc>
                <w:tcPr>
                  <w:tcW w:w="111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Cs w:val="21"/>
                      <w:highlight w:val="none"/>
                    </w:rPr>
                  </w:pPr>
                  <w:r>
                    <w:rPr>
                      <w:rFonts w:hint="eastAsia"/>
                      <w:color w:val="auto"/>
                      <w:szCs w:val="21"/>
                      <w:highlight w:val="none"/>
                    </w:rPr>
                    <w:t>2#，项目东侧场界外</w:t>
                  </w:r>
                </w:p>
              </w:tc>
              <w:tc>
                <w:tcPr>
                  <w:tcW w:w="733"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10:18-10:28</w:t>
                  </w:r>
                </w:p>
              </w:tc>
              <w:tc>
                <w:tcPr>
                  <w:tcW w:w="408"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55</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cs="Times New Roman"/>
                      <w:bCs/>
                      <w:color w:val="auto"/>
                      <w:sz w:val="21"/>
                      <w:szCs w:val="21"/>
                      <w:highlight w:val="none"/>
                    </w:rPr>
                  </w:pPr>
                  <w:r>
                    <w:rPr>
                      <w:rFonts w:hint="eastAsia" w:cs="Times New Roman"/>
                      <w:bCs/>
                      <w:color w:val="auto"/>
                      <w:sz w:val="21"/>
                      <w:szCs w:val="21"/>
                      <w:highlight w:val="none"/>
                      <w:lang w:val="en-US" w:eastAsia="zh-CN"/>
                    </w:rPr>
                    <w:t>60</w:t>
                  </w:r>
                </w:p>
              </w:tc>
              <w:tc>
                <w:tcPr>
                  <w:tcW w:w="720"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22:37-22:47</w:t>
                  </w:r>
                </w:p>
              </w:tc>
              <w:tc>
                <w:tcPr>
                  <w:tcW w:w="415"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46</w:t>
                  </w:r>
                </w:p>
              </w:tc>
              <w:tc>
                <w:tcPr>
                  <w:tcW w:w="415" w:type="pct"/>
                  <w:noWrap w:val="0"/>
                  <w:vAlign w:val="center"/>
                </w:tcPr>
                <w:p>
                  <w:pPr>
                    <w:keepNext w:val="0"/>
                    <w:keepLines w:val="0"/>
                    <w:pageBreakBefore w:val="0"/>
                    <w:kinsoku/>
                    <w:wordWrap/>
                    <w:overflowPunct/>
                    <w:topLinePunct w:val="0"/>
                    <w:bidi w:val="0"/>
                    <w:spacing w:line="240" w:lineRule="auto"/>
                    <w:ind w:left="0" w:leftChars="0"/>
                    <w:jc w:val="center"/>
                    <w:textAlignment w:val="auto"/>
                    <w:rPr>
                      <w:rFonts w:hint="eastAsia" w:cs="Times New Roman"/>
                      <w:bCs/>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Cs w:val="21"/>
                      <w:highlight w:val="none"/>
                    </w:rPr>
                  </w:pP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napToGrid w:val="0"/>
                      <w:color w:val="auto"/>
                      <w:szCs w:val="21"/>
                      <w:highlight w:val="none"/>
                    </w:rPr>
                  </w:pPr>
                </w:p>
              </w:tc>
              <w:tc>
                <w:tcPr>
                  <w:tcW w:w="111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Cs w:val="21"/>
                      <w:highlight w:val="none"/>
                    </w:rPr>
                  </w:pPr>
                  <w:r>
                    <w:rPr>
                      <w:rFonts w:hint="eastAsia"/>
                      <w:color w:val="auto"/>
                      <w:szCs w:val="21"/>
                      <w:highlight w:val="none"/>
                    </w:rPr>
                    <w:t>3#，项目南侧场界外</w:t>
                  </w:r>
                </w:p>
              </w:tc>
              <w:tc>
                <w:tcPr>
                  <w:tcW w:w="733"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10:44-10:54</w:t>
                  </w:r>
                </w:p>
              </w:tc>
              <w:tc>
                <w:tcPr>
                  <w:tcW w:w="408"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54</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cs="Times New Roman"/>
                      <w:bCs/>
                      <w:color w:val="auto"/>
                      <w:sz w:val="21"/>
                      <w:szCs w:val="21"/>
                      <w:highlight w:val="none"/>
                    </w:rPr>
                  </w:pPr>
                  <w:r>
                    <w:rPr>
                      <w:rFonts w:hint="eastAsia" w:cs="Times New Roman"/>
                      <w:bCs/>
                      <w:color w:val="auto"/>
                      <w:sz w:val="21"/>
                      <w:szCs w:val="21"/>
                      <w:highlight w:val="none"/>
                      <w:lang w:val="en-US" w:eastAsia="zh-CN"/>
                    </w:rPr>
                    <w:t>60</w:t>
                  </w:r>
                </w:p>
              </w:tc>
              <w:tc>
                <w:tcPr>
                  <w:tcW w:w="720"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23:01-23:11</w:t>
                  </w:r>
                </w:p>
              </w:tc>
              <w:tc>
                <w:tcPr>
                  <w:tcW w:w="415"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41</w:t>
                  </w:r>
                </w:p>
              </w:tc>
              <w:tc>
                <w:tcPr>
                  <w:tcW w:w="415" w:type="pct"/>
                  <w:noWrap w:val="0"/>
                  <w:vAlign w:val="center"/>
                </w:tcPr>
                <w:p>
                  <w:pPr>
                    <w:keepNext w:val="0"/>
                    <w:keepLines w:val="0"/>
                    <w:pageBreakBefore w:val="0"/>
                    <w:kinsoku/>
                    <w:wordWrap/>
                    <w:overflowPunct/>
                    <w:topLinePunct w:val="0"/>
                    <w:bidi w:val="0"/>
                    <w:spacing w:line="240" w:lineRule="auto"/>
                    <w:ind w:left="0" w:leftChars="0"/>
                    <w:jc w:val="center"/>
                    <w:textAlignment w:val="auto"/>
                    <w:rPr>
                      <w:rFonts w:hint="eastAsia" w:cs="Times New Roman"/>
                      <w:bCs/>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Cs w:val="21"/>
                      <w:highlight w:val="none"/>
                    </w:rPr>
                  </w:pP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napToGrid w:val="0"/>
                      <w:color w:val="auto"/>
                      <w:szCs w:val="21"/>
                      <w:highlight w:val="none"/>
                    </w:rPr>
                  </w:pPr>
                </w:p>
              </w:tc>
              <w:tc>
                <w:tcPr>
                  <w:tcW w:w="111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Cs w:val="21"/>
                      <w:highlight w:val="none"/>
                    </w:rPr>
                  </w:pPr>
                  <w:r>
                    <w:rPr>
                      <w:rFonts w:hint="eastAsia"/>
                      <w:color w:val="auto"/>
                      <w:szCs w:val="21"/>
                      <w:highlight w:val="none"/>
                    </w:rPr>
                    <w:t>4#，项目西侧场界外</w:t>
                  </w:r>
                </w:p>
              </w:tc>
              <w:tc>
                <w:tcPr>
                  <w:tcW w:w="733"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10:05-10:15</w:t>
                  </w:r>
                </w:p>
              </w:tc>
              <w:tc>
                <w:tcPr>
                  <w:tcW w:w="408"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54</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cs="Times New Roman"/>
                      <w:bCs/>
                      <w:color w:val="auto"/>
                      <w:sz w:val="21"/>
                      <w:szCs w:val="21"/>
                      <w:highlight w:val="none"/>
                    </w:rPr>
                  </w:pPr>
                  <w:r>
                    <w:rPr>
                      <w:rFonts w:hint="eastAsia" w:cs="Times New Roman"/>
                      <w:bCs/>
                      <w:color w:val="auto"/>
                      <w:sz w:val="21"/>
                      <w:szCs w:val="21"/>
                      <w:highlight w:val="none"/>
                      <w:lang w:val="en-US" w:eastAsia="zh-CN"/>
                    </w:rPr>
                    <w:t>60</w:t>
                  </w:r>
                </w:p>
              </w:tc>
              <w:tc>
                <w:tcPr>
                  <w:tcW w:w="720"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22:25-22:35</w:t>
                  </w:r>
                </w:p>
              </w:tc>
              <w:tc>
                <w:tcPr>
                  <w:tcW w:w="415"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43</w:t>
                  </w:r>
                </w:p>
              </w:tc>
              <w:tc>
                <w:tcPr>
                  <w:tcW w:w="415" w:type="pct"/>
                  <w:noWrap w:val="0"/>
                  <w:vAlign w:val="center"/>
                </w:tcPr>
                <w:p>
                  <w:pPr>
                    <w:keepNext w:val="0"/>
                    <w:keepLines w:val="0"/>
                    <w:pageBreakBefore w:val="0"/>
                    <w:kinsoku/>
                    <w:wordWrap/>
                    <w:overflowPunct/>
                    <w:topLinePunct w:val="0"/>
                    <w:bidi w:val="0"/>
                    <w:spacing w:line="240" w:lineRule="auto"/>
                    <w:ind w:left="0" w:leftChars="0"/>
                    <w:jc w:val="center"/>
                    <w:textAlignment w:val="auto"/>
                    <w:rPr>
                      <w:rFonts w:hint="eastAsia" w:cs="Times New Roman"/>
                      <w:bCs/>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Cs w:val="21"/>
                      <w:highlight w:val="none"/>
                    </w:rPr>
                  </w:pP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napToGrid w:val="0"/>
                      <w:color w:val="auto"/>
                      <w:szCs w:val="21"/>
                      <w:highlight w:val="none"/>
                    </w:rPr>
                  </w:pPr>
                </w:p>
              </w:tc>
              <w:tc>
                <w:tcPr>
                  <w:tcW w:w="111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Cs w:val="21"/>
                      <w:highlight w:val="none"/>
                    </w:rPr>
                  </w:pPr>
                  <w:r>
                    <w:rPr>
                      <w:rFonts w:hint="eastAsia"/>
                      <w:color w:val="auto"/>
                      <w:szCs w:val="21"/>
                      <w:highlight w:val="none"/>
                    </w:rPr>
                    <w:t>5#，项目北侧场界外商住户</w:t>
                  </w:r>
                </w:p>
              </w:tc>
              <w:tc>
                <w:tcPr>
                  <w:tcW w:w="733"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09:53-10:03</w:t>
                  </w:r>
                </w:p>
              </w:tc>
              <w:tc>
                <w:tcPr>
                  <w:tcW w:w="408"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56</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cs="Times New Roman"/>
                      <w:bCs/>
                      <w:color w:val="auto"/>
                      <w:sz w:val="21"/>
                      <w:szCs w:val="21"/>
                      <w:highlight w:val="none"/>
                    </w:rPr>
                  </w:pPr>
                  <w:r>
                    <w:rPr>
                      <w:rFonts w:hint="eastAsia" w:cs="Times New Roman"/>
                      <w:bCs/>
                      <w:color w:val="auto"/>
                      <w:sz w:val="21"/>
                      <w:szCs w:val="21"/>
                      <w:highlight w:val="none"/>
                      <w:lang w:val="en-US" w:eastAsia="zh-CN"/>
                    </w:rPr>
                    <w:t>60</w:t>
                  </w:r>
                </w:p>
              </w:tc>
              <w:tc>
                <w:tcPr>
                  <w:tcW w:w="720"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22:12-22:22</w:t>
                  </w:r>
                </w:p>
              </w:tc>
              <w:tc>
                <w:tcPr>
                  <w:tcW w:w="415"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44</w:t>
                  </w:r>
                </w:p>
              </w:tc>
              <w:tc>
                <w:tcPr>
                  <w:tcW w:w="415" w:type="pct"/>
                  <w:noWrap w:val="0"/>
                  <w:vAlign w:val="center"/>
                </w:tcPr>
                <w:p>
                  <w:pPr>
                    <w:keepNext w:val="0"/>
                    <w:keepLines w:val="0"/>
                    <w:pageBreakBefore w:val="0"/>
                    <w:kinsoku/>
                    <w:wordWrap/>
                    <w:overflowPunct/>
                    <w:topLinePunct w:val="0"/>
                    <w:bidi w:val="0"/>
                    <w:spacing w:line="240" w:lineRule="auto"/>
                    <w:ind w:left="0" w:leftChars="0"/>
                    <w:jc w:val="center"/>
                    <w:textAlignment w:val="auto"/>
                    <w:rPr>
                      <w:rFonts w:hint="eastAsia" w:cs="Times New Roman"/>
                      <w:bCs/>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Cs w:val="21"/>
                      <w:highlight w:val="none"/>
                    </w:rPr>
                  </w:pP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napToGrid w:val="0"/>
                      <w:color w:val="auto"/>
                      <w:szCs w:val="21"/>
                      <w:highlight w:val="none"/>
                    </w:rPr>
                  </w:pPr>
                </w:p>
              </w:tc>
              <w:tc>
                <w:tcPr>
                  <w:tcW w:w="111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Cs w:val="21"/>
                      <w:highlight w:val="none"/>
                    </w:rPr>
                  </w:pPr>
                  <w:r>
                    <w:rPr>
                      <w:rFonts w:hint="eastAsia"/>
                      <w:color w:val="auto"/>
                      <w:szCs w:val="21"/>
                      <w:highlight w:val="none"/>
                    </w:rPr>
                    <w:t>6#，项目西南侧书店</w:t>
                  </w:r>
                </w:p>
              </w:tc>
              <w:tc>
                <w:tcPr>
                  <w:tcW w:w="733"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10:31-10:41</w:t>
                  </w:r>
                </w:p>
              </w:tc>
              <w:tc>
                <w:tcPr>
                  <w:tcW w:w="408"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55</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cs="Times New Roman"/>
                      <w:bCs/>
                      <w:color w:val="auto"/>
                      <w:sz w:val="21"/>
                      <w:szCs w:val="21"/>
                      <w:highlight w:val="none"/>
                    </w:rPr>
                  </w:pPr>
                  <w:r>
                    <w:rPr>
                      <w:rFonts w:hint="eastAsia" w:cs="Times New Roman"/>
                      <w:bCs/>
                      <w:color w:val="auto"/>
                      <w:sz w:val="21"/>
                      <w:szCs w:val="21"/>
                      <w:highlight w:val="none"/>
                      <w:lang w:val="en-US" w:eastAsia="zh-CN"/>
                    </w:rPr>
                    <w:t>60</w:t>
                  </w:r>
                </w:p>
              </w:tc>
              <w:tc>
                <w:tcPr>
                  <w:tcW w:w="720"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22:49-22:59</w:t>
                  </w:r>
                </w:p>
              </w:tc>
              <w:tc>
                <w:tcPr>
                  <w:tcW w:w="415" w:type="pct"/>
                  <w:noWrap w:val="0"/>
                  <w:vAlign w:val="center"/>
                </w:tcPr>
                <w:p>
                  <w:pPr>
                    <w:pStyle w:val="35"/>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cs="Times New Roman"/>
                      <w:bCs/>
                      <w:color w:val="auto"/>
                      <w:sz w:val="21"/>
                      <w:szCs w:val="21"/>
                      <w:highlight w:val="none"/>
                    </w:rPr>
                  </w:pPr>
                  <w:r>
                    <w:rPr>
                      <w:rFonts w:hint="eastAsia" w:cs="Times New Roman"/>
                      <w:bCs/>
                      <w:color w:val="auto"/>
                      <w:sz w:val="21"/>
                      <w:szCs w:val="21"/>
                      <w:highlight w:val="none"/>
                    </w:rPr>
                    <w:t>44</w:t>
                  </w:r>
                </w:p>
              </w:tc>
              <w:tc>
                <w:tcPr>
                  <w:tcW w:w="415" w:type="pct"/>
                  <w:noWrap w:val="0"/>
                  <w:vAlign w:val="center"/>
                </w:tcPr>
                <w:p>
                  <w:pPr>
                    <w:keepNext w:val="0"/>
                    <w:keepLines w:val="0"/>
                    <w:pageBreakBefore w:val="0"/>
                    <w:kinsoku/>
                    <w:wordWrap/>
                    <w:overflowPunct/>
                    <w:topLinePunct w:val="0"/>
                    <w:bidi w:val="0"/>
                    <w:spacing w:line="240" w:lineRule="auto"/>
                    <w:ind w:left="0" w:leftChars="0"/>
                    <w:jc w:val="center"/>
                    <w:textAlignment w:val="auto"/>
                    <w:rPr>
                      <w:rFonts w:hint="eastAsia" w:cs="Times New Roman"/>
                      <w:bCs/>
                      <w:color w:val="auto"/>
                      <w:sz w:val="21"/>
                      <w:szCs w:val="21"/>
                      <w:highlight w:val="none"/>
                    </w:rPr>
                  </w:pPr>
                  <w:r>
                    <w:rPr>
                      <w:rFonts w:hint="default" w:ascii="Times New Roman" w:hAnsi="Times New Roman" w:cs="Times New Roman"/>
                      <w:color w:val="auto"/>
                      <w:sz w:val="21"/>
                      <w:szCs w:val="21"/>
                      <w:highlight w:val="none"/>
                    </w:rPr>
                    <w:t>50</w:t>
                  </w:r>
                </w:p>
              </w:tc>
            </w:tr>
          </w:tbl>
          <w:p>
            <w:pPr>
              <w:keepNext w:val="0"/>
              <w:keepLines w:val="0"/>
              <w:pageBreakBefore w:val="0"/>
              <w:kinsoku/>
              <w:wordWrap/>
              <w:overflowPunct/>
              <w:topLinePunct w:val="0"/>
              <w:bidi w:val="0"/>
              <w:spacing w:line="360" w:lineRule="auto"/>
              <w:ind w:left="0" w:firstLine="480" w:firstLineChars="200"/>
              <w:textAlignment w:val="auto"/>
              <w:rPr>
                <w:rFonts w:hint="eastAsia" w:cs="Times New Roman"/>
                <w:color w:val="auto"/>
                <w:sz w:val="24"/>
                <w:szCs w:val="24"/>
                <w:highlight w:val="none"/>
                <w:lang w:eastAsia="zh-CN"/>
              </w:rPr>
            </w:pPr>
            <w:r>
              <w:rPr>
                <w:rFonts w:hint="default" w:ascii="Times New Roman" w:hAnsi="Times New Roman" w:cs="Times New Roman"/>
                <w:color w:val="auto"/>
                <w:sz w:val="24"/>
                <w:szCs w:val="24"/>
                <w:highlight w:val="none"/>
              </w:rPr>
              <w:t>结果表明，监测点噪声值均达到《声环境质量标准》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GB3096-2008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2类标准，区域声环境质量良好</w:t>
            </w:r>
            <w:r>
              <w:rPr>
                <w:rFonts w:hint="eastAsia" w:cs="Times New Roman"/>
                <w:color w:val="auto"/>
                <w:sz w:val="24"/>
                <w:szCs w:val="24"/>
                <w:highlight w:val="none"/>
                <w:lang w:eastAsia="zh-CN"/>
              </w:rPr>
              <w:t>。</w:t>
            </w:r>
          </w:p>
          <w:p>
            <w:pPr>
              <w:keepNext w:val="0"/>
              <w:keepLines w:val="0"/>
              <w:pageBreakBefore w:val="0"/>
              <w:kinsoku/>
              <w:wordWrap/>
              <w:overflowPunct/>
              <w:topLinePunct w:val="0"/>
              <w:bidi w:val="0"/>
              <w:spacing w:line="360" w:lineRule="auto"/>
              <w:ind w:left="0" w:firstLine="482" w:firstLineChars="200"/>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4、地下水环境现状</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本项目为</w:t>
            </w:r>
            <w:r>
              <w:rPr>
                <w:rFonts w:hint="eastAsia"/>
                <w:bCs/>
                <w:color w:val="auto"/>
                <w:sz w:val="24"/>
                <w:szCs w:val="24"/>
                <w:highlight w:val="none"/>
                <w:vertAlign w:val="baseline"/>
                <w:lang w:val="en-US" w:eastAsia="zh-CN" w:bidi="en-US"/>
              </w:rPr>
              <w:t>宣汉同盛医院建设项目</w:t>
            </w:r>
            <w:r>
              <w:rPr>
                <w:rFonts w:hint="default" w:ascii="Times New Roman" w:hAnsi="Times New Roman" w:cs="Times New Roman"/>
                <w:color w:val="auto"/>
                <w:sz w:val="24"/>
                <w:szCs w:val="24"/>
                <w:highlight w:val="none"/>
                <w:lang w:val="en-US" w:eastAsia="zh-CN"/>
              </w:rPr>
              <w:t>，根据《环境影响评价技术导则</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地下水环境》（HJ610-2016）附录A，本项目地下水环境影响评价项目类别为“161、社区医疗、卫生院（所、站）、血站、急救中心等其他卫生机构，Ⅳ类建设项目”。根据</w:t>
            </w:r>
            <w:r>
              <w:rPr>
                <w:rFonts w:hint="eastAsia" w:cs="Times New Roman"/>
                <w:color w:val="auto"/>
                <w:sz w:val="24"/>
                <w:szCs w:val="24"/>
                <w:highlight w:val="none"/>
                <w:lang w:val="en-US" w:eastAsia="zh-CN"/>
              </w:rPr>
              <w:t>《环境影响评价技术导则 地下水环境》（HJ610-2016）附录A</w:t>
            </w:r>
            <w:r>
              <w:rPr>
                <w:rFonts w:hint="default" w:ascii="Times New Roman" w:hAnsi="Times New Roman" w:cs="Times New Roman"/>
                <w:color w:val="auto"/>
                <w:sz w:val="24"/>
                <w:szCs w:val="24"/>
                <w:highlight w:val="none"/>
                <w:lang w:val="en-US" w:eastAsia="zh-CN"/>
              </w:rPr>
              <w:t>，Ⅳ类建设项目不开展地下水环境影响评价，因此，本次评价未对地下水环境现状进行调查。</w:t>
            </w:r>
          </w:p>
          <w:p>
            <w:pPr>
              <w:keepNext w:val="0"/>
              <w:keepLines w:val="0"/>
              <w:pageBreakBefore w:val="0"/>
              <w:kinsoku/>
              <w:wordWrap/>
              <w:overflowPunct/>
              <w:topLinePunct w:val="0"/>
              <w:bidi w:val="0"/>
              <w:spacing w:line="360" w:lineRule="auto"/>
              <w:ind w:left="0" w:firstLine="482" w:firstLineChars="200"/>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5、土壤环境现状</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lang w:val="zh-CN"/>
              </w:rPr>
            </w:pPr>
            <w:r>
              <w:rPr>
                <w:rFonts w:hint="eastAsia"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lang w:val="en-US" w:eastAsia="zh-CN"/>
              </w:rPr>
              <w:t>环境影响评价技术导则</w:t>
            </w:r>
            <w:r>
              <w:rPr>
                <w:rFonts w:hint="eastAsia" w:cs="Times New Roman"/>
                <w:color w:val="auto"/>
                <w:sz w:val="24"/>
                <w:szCs w:val="24"/>
                <w:highlight w:val="none"/>
                <w:lang w:val="en-US" w:eastAsia="zh-CN"/>
              </w:rPr>
              <w:t xml:space="preserve"> 土壤导则》（HJ964-2018）中建设项目类别划分，本项目属于</w:t>
            </w:r>
            <w:r>
              <w:rPr>
                <w:rFonts w:hint="default" w:ascii="Times New Roman" w:hAnsi="Times New Roman" w:cs="Times New Roman"/>
                <w:color w:val="auto"/>
                <w:sz w:val="24"/>
                <w:szCs w:val="24"/>
                <w:highlight w:val="none"/>
                <w:lang w:val="en-US" w:eastAsia="zh-CN"/>
              </w:rPr>
              <w:t>附录A</w:t>
            </w:r>
            <w:r>
              <w:rPr>
                <w:rFonts w:hint="eastAsia" w:cs="Times New Roman"/>
                <w:color w:val="auto"/>
                <w:sz w:val="24"/>
                <w:szCs w:val="24"/>
                <w:highlight w:val="none"/>
                <w:lang w:val="en-US" w:eastAsia="zh-CN"/>
              </w:rPr>
              <w:t>中其他项目，属于</w:t>
            </w:r>
            <w:r>
              <w:rPr>
                <w:rFonts w:hint="default" w:ascii="Times New Roman" w:hAnsi="Times New Roman" w:cs="Times New Roman"/>
                <w:color w:val="auto"/>
                <w:sz w:val="24"/>
                <w:szCs w:val="24"/>
                <w:highlight w:val="none"/>
                <w:lang w:val="en-US" w:eastAsia="zh-CN"/>
              </w:rPr>
              <w:t>Ⅳ类项目</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项目不开展</w:t>
            </w:r>
            <w:r>
              <w:rPr>
                <w:rFonts w:hint="eastAsia" w:cs="Times New Roman"/>
                <w:color w:val="auto"/>
                <w:sz w:val="24"/>
                <w:szCs w:val="24"/>
                <w:highlight w:val="none"/>
                <w:lang w:val="en-US" w:eastAsia="zh-CN"/>
              </w:rPr>
              <w:t>土壤</w:t>
            </w:r>
            <w:r>
              <w:rPr>
                <w:rFonts w:hint="default" w:ascii="Times New Roman" w:hAnsi="Times New Roman" w:cs="Times New Roman"/>
                <w:color w:val="auto"/>
                <w:sz w:val="24"/>
                <w:szCs w:val="24"/>
                <w:highlight w:val="none"/>
                <w:lang w:val="en-US" w:eastAsia="zh-CN"/>
              </w:rPr>
              <w:t>环境影响评价，因此，本次评价未对</w:t>
            </w:r>
            <w:r>
              <w:rPr>
                <w:rFonts w:hint="eastAsia" w:cs="Times New Roman"/>
                <w:color w:val="auto"/>
                <w:sz w:val="24"/>
                <w:szCs w:val="24"/>
                <w:highlight w:val="none"/>
                <w:lang w:val="en-US" w:eastAsia="zh-CN"/>
              </w:rPr>
              <w:t>土壤</w:t>
            </w:r>
            <w:r>
              <w:rPr>
                <w:rFonts w:hint="default" w:ascii="Times New Roman" w:hAnsi="Times New Roman" w:cs="Times New Roman"/>
                <w:color w:val="auto"/>
                <w:sz w:val="24"/>
                <w:szCs w:val="24"/>
                <w:highlight w:val="none"/>
                <w:lang w:val="en-US" w:eastAsia="zh-CN"/>
              </w:rPr>
              <w:t>环境现状进行调查。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4" w:type="dxa"/>
            <w:vAlign w:val="center"/>
          </w:tcPr>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目标</w:t>
            </w:r>
          </w:p>
        </w:tc>
        <w:tc>
          <w:tcPr>
            <w:tcW w:w="9288" w:type="dxa"/>
            <w:vAlign w:val="center"/>
          </w:tcPr>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1、大气环境</w:t>
            </w:r>
          </w:p>
          <w:p>
            <w:pPr>
              <w:keepNext w:val="0"/>
              <w:keepLines w:val="0"/>
              <w:pageBreakBefore w:val="0"/>
              <w:kinsoku/>
              <w:wordWrap/>
              <w:overflowPunct/>
              <w:topLinePunct w:val="0"/>
              <w:bidi w:val="0"/>
              <w:spacing w:line="360" w:lineRule="auto"/>
              <w:ind w:left="0" w:firstLine="480" w:firstLineChars="200"/>
              <w:textAlignment w:val="auto"/>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本项目厂界外500m范围内大气环境环境保护目标见表3-</w:t>
            </w:r>
            <w:r>
              <w:rPr>
                <w:rFonts w:hint="eastAsia" w:cs="Times New Roman"/>
                <w:color w:val="auto"/>
                <w:sz w:val="24"/>
                <w:szCs w:val="24"/>
                <w:highlight w:val="none"/>
                <w:lang w:val="en-US" w:eastAsia="zh-CN"/>
              </w:rPr>
              <w:t>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w:t>
            </w:r>
            <w:r>
              <w:rPr>
                <w:rFonts w:hint="eastAsia" w:eastAsia="黑体" w:cs="Times New Roman"/>
                <w:b w:val="0"/>
                <w:bCs w:val="0"/>
                <w:color w:val="auto"/>
                <w:sz w:val="21"/>
                <w:szCs w:val="21"/>
                <w:highlight w:val="none"/>
                <w:lang w:val="en-US" w:eastAsia="zh-CN"/>
              </w:rPr>
              <w:t>6</w:t>
            </w:r>
            <w:r>
              <w:rPr>
                <w:rFonts w:hint="default" w:ascii="Times New Roman" w:hAnsi="Times New Roman" w:eastAsia="黑体" w:cs="Times New Roman"/>
                <w:b w:val="0"/>
                <w:bCs w:val="0"/>
                <w:color w:val="auto"/>
                <w:sz w:val="21"/>
                <w:szCs w:val="21"/>
                <w:highlight w:val="none"/>
                <w:lang w:val="en-US" w:eastAsia="zh-CN"/>
              </w:rPr>
              <w:t xml:space="preserve">  主要环境保护目标</w:t>
            </w:r>
          </w:p>
          <w:tbl>
            <w:tblPr>
              <w:tblStyle w:val="21"/>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70"/>
              <w:gridCol w:w="890"/>
              <w:gridCol w:w="948"/>
              <w:gridCol w:w="2027"/>
              <w:gridCol w:w="821"/>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03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保护对象</w:t>
                  </w:r>
                </w:p>
              </w:tc>
              <w:tc>
                <w:tcPr>
                  <w:tcW w:w="493"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525" w:type="pct"/>
                  <w:vAlign w:val="center"/>
                </w:tcPr>
                <w:p>
                  <w:pPr>
                    <w:keepNext w:val="0"/>
                    <w:keepLines w:val="0"/>
                    <w:pageBreakBefore w:val="0"/>
                    <w:kinsoku/>
                    <w:wordWrap/>
                    <w:overflowPunct/>
                    <w:topLinePunct w:val="0"/>
                    <w:bidi w:val="0"/>
                    <w:spacing w:line="240" w:lineRule="auto"/>
                    <w:ind w:left="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距离</w:t>
                  </w:r>
                  <w:r>
                    <w:rPr>
                      <w:rFonts w:hint="eastAsia" w:cs="Times New Roman"/>
                      <w:b/>
                      <w:bCs/>
                      <w:color w:val="auto"/>
                      <w:sz w:val="21"/>
                      <w:szCs w:val="21"/>
                      <w:highlight w:val="none"/>
                      <w:lang w:val="en-US" w:eastAsia="zh-CN"/>
                    </w:rPr>
                    <w:t>/m</w:t>
                  </w:r>
                </w:p>
              </w:tc>
              <w:tc>
                <w:tcPr>
                  <w:tcW w:w="1123"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规模</w:t>
                  </w:r>
                </w:p>
              </w:tc>
              <w:tc>
                <w:tcPr>
                  <w:tcW w:w="455"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性质</w:t>
                  </w:r>
                </w:p>
              </w:tc>
              <w:tc>
                <w:tcPr>
                  <w:tcW w:w="968"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36" w:type="pct"/>
                  <w:vAlign w:val="center"/>
                </w:tcPr>
                <w:p>
                  <w:pPr>
                    <w:keepNext w:val="0"/>
                    <w:keepLines w:val="0"/>
                    <w:pageBreakBefore w:val="0"/>
                    <w:kinsoku/>
                    <w:wordWrap/>
                    <w:overflowPunct/>
                    <w:topLinePunct w:val="0"/>
                    <w:autoSpaceDE w:val="0"/>
                    <w:autoSpaceDN w:val="0"/>
                    <w:bidi w:val="0"/>
                    <w:adjustRightIn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宣汉国有林场棚改小区</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北侧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270</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约450户，1400人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住宅</w:t>
                  </w:r>
                </w:p>
              </w:tc>
              <w:tc>
                <w:tcPr>
                  <w:tcW w:w="968" w:type="pct"/>
                  <w:vMerge w:val="restar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GB3095-2012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36" w:type="pct"/>
                  <w:vAlign w:val="center"/>
                </w:tcPr>
                <w:p>
                  <w:pPr>
                    <w:keepNext w:val="0"/>
                    <w:keepLines w:val="0"/>
                    <w:pageBreakBefore w:val="0"/>
                    <w:kinsoku/>
                    <w:wordWrap/>
                    <w:overflowPunct/>
                    <w:topLinePunct w:val="0"/>
                    <w:autoSpaceDE w:val="0"/>
                    <w:autoSpaceDN w:val="0"/>
                    <w:bidi w:val="0"/>
                    <w:adjustRightIn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宣汉县当门坝廉租房B区</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北侧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320</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约</w:t>
                  </w:r>
                  <w:r>
                    <w:rPr>
                      <w:rFonts w:hint="default" w:ascii="Times New Roman" w:hAnsi="Times New Roman" w:eastAsia="宋体" w:cs="Times New Roman"/>
                      <w:color w:val="auto"/>
                      <w:kern w:val="0"/>
                      <w:sz w:val="21"/>
                      <w:szCs w:val="21"/>
                      <w:highlight w:val="none"/>
                      <w:lang w:val="en-US" w:eastAsia="zh-CN" w:bidi="ar-SA"/>
                    </w:rPr>
                    <w:t>576</w:t>
                  </w:r>
                  <w:r>
                    <w:rPr>
                      <w:rFonts w:hint="eastAsia" w:cs="Times New Roman"/>
                      <w:color w:val="auto"/>
                      <w:kern w:val="0"/>
                      <w:sz w:val="21"/>
                      <w:szCs w:val="21"/>
                      <w:highlight w:val="none"/>
                      <w:lang w:val="en-US" w:eastAsia="zh-CN" w:bidi="ar-SA"/>
                    </w:rPr>
                    <w:t>户，1800人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住宅</w:t>
                  </w:r>
                </w:p>
              </w:tc>
              <w:tc>
                <w:tcPr>
                  <w:tcW w:w="968" w:type="pct"/>
                  <w:vMerge w:val="continue"/>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036" w:type="pct"/>
                  <w:vAlign w:val="center"/>
                </w:tcPr>
                <w:p>
                  <w:pPr>
                    <w:keepNext w:val="0"/>
                    <w:keepLines w:val="0"/>
                    <w:pageBreakBefore w:val="0"/>
                    <w:kinsoku/>
                    <w:wordWrap/>
                    <w:overflowPunct/>
                    <w:topLinePunct w:val="0"/>
                    <w:autoSpaceDE w:val="0"/>
                    <w:autoSpaceDN w:val="0"/>
                    <w:bidi w:val="0"/>
                    <w:adjustRightIn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商住户</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西侧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约20户，65人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住宅</w:t>
                  </w:r>
                </w:p>
              </w:tc>
              <w:tc>
                <w:tcPr>
                  <w:tcW w:w="968" w:type="pct"/>
                  <w:vMerge w:val="continue"/>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036" w:type="pct"/>
                  <w:vAlign w:val="center"/>
                </w:tcPr>
                <w:p>
                  <w:pPr>
                    <w:keepNext w:val="0"/>
                    <w:keepLines w:val="0"/>
                    <w:pageBreakBefore w:val="0"/>
                    <w:kinsoku/>
                    <w:wordWrap/>
                    <w:overflowPunct/>
                    <w:topLinePunct w:val="0"/>
                    <w:autoSpaceDE w:val="0"/>
                    <w:autoSpaceDN w:val="0"/>
                    <w:bidi w:val="0"/>
                    <w:adjustRightIn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达州科技职业技术学校</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西侧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170</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约1500人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学校</w:t>
                  </w:r>
                </w:p>
              </w:tc>
              <w:tc>
                <w:tcPr>
                  <w:tcW w:w="968" w:type="pct"/>
                  <w:vMerge w:val="continue"/>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1036" w:type="pct"/>
                  <w:vAlign w:val="center"/>
                </w:tcPr>
                <w:p>
                  <w:pPr>
                    <w:keepNext w:val="0"/>
                    <w:keepLines w:val="0"/>
                    <w:pageBreakBefore w:val="0"/>
                    <w:kinsoku/>
                    <w:wordWrap/>
                    <w:overflowPunct/>
                    <w:topLinePunct w:val="0"/>
                    <w:autoSpaceDE w:val="0"/>
                    <w:autoSpaceDN w:val="0"/>
                    <w:bidi w:val="0"/>
                    <w:adjustRightIn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金域华府</w:t>
                  </w:r>
                  <w:r>
                    <w:rPr>
                      <w:rFonts w:hint="eastAsia" w:cs="Times New Roman"/>
                      <w:color w:val="auto"/>
                      <w:kern w:val="0"/>
                      <w:sz w:val="21"/>
                      <w:szCs w:val="21"/>
                      <w:highlight w:val="none"/>
                      <w:lang w:val="en-US" w:eastAsia="zh-CN" w:bidi="ar-SA"/>
                    </w:rPr>
                    <w:t>（在建）</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南侧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80</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规划</w:t>
                  </w:r>
                  <w:r>
                    <w:rPr>
                      <w:rFonts w:hint="default" w:ascii="Times New Roman" w:hAnsi="Times New Roman" w:eastAsia="宋体" w:cs="Times New Roman"/>
                      <w:color w:val="auto"/>
                      <w:kern w:val="0"/>
                      <w:sz w:val="21"/>
                      <w:szCs w:val="21"/>
                      <w:highlight w:val="none"/>
                      <w:lang w:val="en-US" w:eastAsia="zh-CN" w:bidi="ar-SA"/>
                    </w:rPr>
                    <w:t>810户</w:t>
                  </w:r>
                  <w:r>
                    <w:rPr>
                      <w:rFonts w:hint="eastAsia" w:cs="Times New Roman"/>
                      <w:color w:val="auto"/>
                      <w:kern w:val="0"/>
                      <w:sz w:val="21"/>
                      <w:szCs w:val="21"/>
                      <w:highlight w:val="none"/>
                      <w:lang w:val="en-US" w:eastAsia="zh-CN" w:bidi="ar-SA"/>
                    </w:rPr>
                    <w:t>，2500人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住宅</w:t>
                  </w:r>
                </w:p>
              </w:tc>
              <w:tc>
                <w:tcPr>
                  <w:tcW w:w="968" w:type="pct"/>
                  <w:vMerge w:val="continue"/>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1036"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巴人大道廉租房惠民小区</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南侧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400</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约348户，1200人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住宅</w:t>
                  </w:r>
                </w:p>
              </w:tc>
              <w:tc>
                <w:tcPr>
                  <w:tcW w:w="968" w:type="pct"/>
                  <w:vMerge w:val="continue"/>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1036"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巴人花园</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南侧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460</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约256户，900人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住宅</w:t>
                  </w:r>
                </w:p>
              </w:tc>
              <w:tc>
                <w:tcPr>
                  <w:tcW w:w="968" w:type="pct"/>
                  <w:vMerge w:val="continue"/>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036" w:type="pct"/>
                  <w:vAlign w:val="center"/>
                </w:tcPr>
                <w:p>
                  <w:pPr>
                    <w:keepNext w:val="0"/>
                    <w:keepLines w:val="0"/>
                    <w:pageBreakBefore w:val="0"/>
                    <w:kinsoku/>
                    <w:wordWrap/>
                    <w:overflowPunct/>
                    <w:topLinePunct w:val="0"/>
                    <w:autoSpaceDE w:val="0"/>
                    <w:autoSpaceDN w:val="0"/>
                    <w:bidi w:val="0"/>
                    <w:adjustRightIn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四川省宣汉中学蒲江学校</w:t>
                  </w:r>
                </w:p>
              </w:tc>
              <w:tc>
                <w:tcPr>
                  <w:tcW w:w="493" w:type="pct"/>
                  <w:vAlign w:val="center"/>
                </w:tcPr>
                <w:p>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东南侧</w:t>
                  </w:r>
                </w:p>
              </w:tc>
              <w:tc>
                <w:tcPr>
                  <w:tcW w:w="525"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490</w:t>
                  </w:r>
                </w:p>
              </w:tc>
              <w:tc>
                <w:tcPr>
                  <w:tcW w:w="1123"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r>
                    <w:rPr>
                      <w:rFonts w:hint="eastAsia" w:cs="Times New Roman"/>
                      <w:color w:val="auto"/>
                      <w:kern w:val="0"/>
                      <w:sz w:val="21"/>
                      <w:szCs w:val="21"/>
                      <w:highlight w:val="none"/>
                      <w:lang w:val="en-US" w:eastAsia="zh-CN" w:bidi="ar-SA"/>
                    </w:rPr>
                    <w:t>0</w:t>
                  </w:r>
                  <w:r>
                    <w:rPr>
                      <w:rFonts w:hint="default" w:ascii="Times New Roman" w:hAnsi="Times New Roman" w:eastAsia="宋体" w:cs="Times New Roman"/>
                      <w:color w:val="auto"/>
                      <w:kern w:val="0"/>
                      <w:sz w:val="21"/>
                      <w:szCs w:val="21"/>
                      <w:highlight w:val="none"/>
                      <w:lang w:val="en-US" w:eastAsia="zh-CN" w:bidi="ar-SA"/>
                    </w:rPr>
                    <w:t>00</w:t>
                  </w:r>
                  <w:r>
                    <w:rPr>
                      <w:rFonts w:hint="eastAsia" w:cs="Times New Roman"/>
                      <w:color w:val="auto"/>
                      <w:kern w:val="0"/>
                      <w:sz w:val="21"/>
                      <w:szCs w:val="21"/>
                      <w:highlight w:val="none"/>
                      <w:lang w:val="en-US" w:eastAsia="zh-CN" w:bidi="ar-SA"/>
                    </w:rPr>
                    <w:t>人</w:t>
                  </w:r>
                </w:p>
              </w:tc>
              <w:tc>
                <w:tcPr>
                  <w:tcW w:w="455"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学校</w:t>
                  </w:r>
                </w:p>
              </w:tc>
              <w:tc>
                <w:tcPr>
                  <w:tcW w:w="968" w:type="pct"/>
                  <w:vMerge w:val="continue"/>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p>
              </w:tc>
            </w:tr>
          </w:tbl>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2、声环境</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本项目厂界外50m范围内声环境保护目标</w:t>
            </w:r>
            <w:r>
              <w:rPr>
                <w:rFonts w:hint="eastAsia" w:cs="Times New Roman"/>
                <w:color w:val="auto"/>
                <w:sz w:val="24"/>
                <w:szCs w:val="24"/>
                <w:highlight w:val="none"/>
                <w:lang w:val="en-US" w:eastAsia="zh-CN"/>
              </w:rPr>
              <w:t>见表3-7</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w:t>
            </w:r>
            <w:r>
              <w:rPr>
                <w:rFonts w:hint="eastAsia" w:eastAsia="黑体" w:cs="Times New Roman"/>
                <w:b w:val="0"/>
                <w:bCs w:val="0"/>
                <w:color w:val="auto"/>
                <w:sz w:val="21"/>
                <w:szCs w:val="21"/>
                <w:highlight w:val="none"/>
                <w:lang w:val="en-US" w:eastAsia="zh-CN"/>
              </w:rPr>
              <w:t>7</w:t>
            </w:r>
            <w:r>
              <w:rPr>
                <w:rFonts w:hint="default" w:ascii="Times New Roman" w:hAnsi="Times New Roman" w:eastAsia="黑体" w:cs="Times New Roman"/>
                <w:b w:val="0"/>
                <w:bCs w:val="0"/>
                <w:color w:val="auto"/>
                <w:sz w:val="21"/>
                <w:szCs w:val="21"/>
                <w:highlight w:val="none"/>
                <w:lang w:val="en-US" w:eastAsia="zh-CN"/>
              </w:rPr>
              <w:t xml:space="preserve">  厂界外50m范围内声环境保护目标</w:t>
            </w:r>
          </w:p>
          <w:tbl>
            <w:tblPr>
              <w:tblStyle w:val="21"/>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79"/>
              <w:gridCol w:w="887"/>
              <w:gridCol w:w="995"/>
              <w:gridCol w:w="1759"/>
              <w:gridCol w:w="805"/>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653"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保护对象</w:t>
                  </w:r>
                </w:p>
              </w:tc>
              <w:tc>
                <w:tcPr>
                  <w:tcW w:w="491"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551"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距离</w:t>
                  </w:r>
                  <w:r>
                    <w:rPr>
                      <w:rFonts w:hint="eastAsia" w:cs="Times New Roman"/>
                      <w:b/>
                      <w:bCs/>
                      <w:color w:val="auto"/>
                      <w:sz w:val="21"/>
                      <w:szCs w:val="21"/>
                      <w:highlight w:val="none"/>
                      <w:lang w:val="en-US" w:eastAsia="zh-CN"/>
                    </w:rPr>
                    <w:t>/m</w:t>
                  </w:r>
                </w:p>
              </w:tc>
              <w:tc>
                <w:tcPr>
                  <w:tcW w:w="975"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规模</w:t>
                  </w:r>
                </w:p>
              </w:tc>
              <w:tc>
                <w:tcPr>
                  <w:tcW w:w="446"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性质</w:t>
                  </w:r>
                </w:p>
              </w:tc>
              <w:tc>
                <w:tcPr>
                  <w:tcW w:w="1484"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53" w:type="pct"/>
                  <w:vAlign w:val="center"/>
                </w:tcPr>
                <w:p>
                  <w:pPr>
                    <w:keepNext w:val="0"/>
                    <w:keepLines w:val="0"/>
                    <w:pageBreakBefore w:val="0"/>
                    <w:kinsoku/>
                    <w:wordWrap/>
                    <w:overflowPunct/>
                    <w:topLinePunct w:val="0"/>
                    <w:autoSpaceDE w:val="0"/>
                    <w:autoSpaceDN w:val="0"/>
                    <w:bidi w:val="0"/>
                    <w:adjustRightIn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商住户</w:t>
                  </w:r>
                </w:p>
              </w:tc>
              <w:tc>
                <w:tcPr>
                  <w:tcW w:w="491" w:type="pct"/>
                  <w:vAlign w:val="center"/>
                </w:tcPr>
                <w:p>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西侧</w:t>
                  </w:r>
                </w:p>
              </w:tc>
              <w:tc>
                <w:tcPr>
                  <w:tcW w:w="551" w:type="pct"/>
                  <w:vAlign w:val="center"/>
                </w:tcPr>
                <w:p>
                  <w:pPr>
                    <w:keepNext w:val="0"/>
                    <w:keepLines w:val="0"/>
                    <w:pageBreakBefore w:val="0"/>
                    <w:widowControl/>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p>
              </w:tc>
              <w:tc>
                <w:tcPr>
                  <w:tcW w:w="975"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约20户，65人</w:t>
                  </w:r>
                </w:p>
              </w:tc>
              <w:tc>
                <w:tcPr>
                  <w:tcW w:w="446" w:type="pct"/>
                  <w:vAlign w:val="center"/>
                </w:tcPr>
                <w:p>
                  <w:pPr>
                    <w:keepNext w:val="0"/>
                    <w:keepLines w:val="0"/>
                    <w:pageBreakBefore w:val="0"/>
                    <w:widowControl/>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住宅</w:t>
                  </w:r>
                </w:p>
              </w:tc>
              <w:tc>
                <w:tcPr>
                  <w:tcW w:w="1484" w:type="pct"/>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《声环境质量标准》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GB3096-2008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2类标准</w:t>
                  </w:r>
                </w:p>
              </w:tc>
            </w:tr>
          </w:tbl>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3、地下水环境</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本项目厂界外500m范围内无地下水集中式饮用水水源和热水、矿泉水、温泉等特殊地下水资源。</w:t>
            </w:r>
          </w:p>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4、生态环境</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本项目用地范围内无生态环境保护目标。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4" w:type="dxa"/>
            <w:vAlign w:val="center"/>
          </w:tcPr>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物排</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放控</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制标</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准</w:t>
            </w:r>
          </w:p>
        </w:tc>
        <w:tc>
          <w:tcPr>
            <w:tcW w:w="9288" w:type="dxa"/>
            <w:vAlign w:val="center"/>
          </w:tcPr>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1、废气</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营运期</w:t>
            </w:r>
            <w:r>
              <w:rPr>
                <w:rFonts w:hint="eastAsia" w:cs="Times New Roman"/>
                <w:color w:val="auto"/>
                <w:sz w:val="24"/>
                <w:szCs w:val="24"/>
                <w:highlight w:val="none"/>
                <w:lang w:val="en-US" w:eastAsia="zh-CN"/>
              </w:rPr>
              <w:t>污水处理设施恶臭无组织排放</w:t>
            </w:r>
            <w:r>
              <w:rPr>
                <w:rFonts w:hint="default" w:ascii="Times New Roman" w:hAnsi="Times New Roman" w:cs="Times New Roman"/>
                <w:color w:val="auto"/>
                <w:sz w:val="24"/>
                <w:szCs w:val="24"/>
                <w:highlight w:val="none"/>
              </w:rPr>
              <w:t>执行</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医疗机构水污染物排放标准</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GB18466-2005</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表3中污水处理站周边大气污染物最高允许浓度标准；食堂油烟执行《饮食业油烟排放标准（试行）》（GB18483-2001）</w:t>
            </w:r>
            <w:r>
              <w:rPr>
                <w:rFonts w:hint="default" w:ascii="Times New Roman" w:hAnsi="Times New Roman" w:cs="Times New Roman"/>
                <w:color w:val="auto"/>
                <w:sz w:val="24"/>
                <w:szCs w:val="24"/>
                <w:highlight w:val="none"/>
              </w:rPr>
              <w:t>。</w:t>
            </w:r>
          </w:p>
          <w:p>
            <w:pPr>
              <w:keepNext w:val="0"/>
              <w:keepLines w:val="0"/>
              <w:pageBreakBefore w:val="0"/>
              <w:kinsoku/>
              <w:wordWrap/>
              <w:overflowPunct/>
              <w:topLinePunct w:val="0"/>
              <w:bidi w:val="0"/>
              <w:snapToGrid w:val="0"/>
              <w:spacing w:line="360" w:lineRule="auto"/>
              <w:ind w:left="0"/>
              <w:jc w:val="center"/>
              <w:rPr>
                <w:rFonts w:eastAsia="黑体"/>
                <w:color w:val="auto"/>
                <w:szCs w:val="21"/>
                <w:highlight w:val="none"/>
              </w:rPr>
            </w:pPr>
            <w:r>
              <w:rPr>
                <w:rFonts w:eastAsia="黑体"/>
                <w:color w:val="auto"/>
                <w:szCs w:val="21"/>
                <w:highlight w:val="none"/>
              </w:rPr>
              <w:t>表3-</w:t>
            </w:r>
            <w:r>
              <w:rPr>
                <w:rFonts w:hint="eastAsia" w:eastAsia="黑体"/>
                <w:color w:val="auto"/>
                <w:szCs w:val="21"/>
                <w:highlight w:val="none"/>
                <w:lang w:val="en-US" w:eastAsia="zh-CN"/>
              </w:rPr>
              <w:t>8</w:t>
            </w:r>
            <w:r>
              <w:rPr>
                <w:rFonts w:eastAsia="黑体"/>
                <w:color w:val="auto"/>
                <w:szCs w:val="21"/>
                <w:highlight w:val="none"/>
              </w:rPr>
              <w:t xml:space="preserve">  大气污染物排放限值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3559"/>
              <w:gridCol w:w="1208"/>
              <w:gridCol w:w="3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61"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废气</w:t>
                  </w:r>
                </w:p>
              </w:tc>
              <w:tc>
                <w:tcPr>
                  <w:tcW w:w="1963"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污染物名称</w:t>
                  </w:r>
                </w:p>
              </w:tc>
              <w:tc>
                <w:tcPr>
                  <w:tcW w:w="666"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排放限值</w:t>
                  </w:r>
                </w:p>
              </w:tc>
              <w:tc>
                <w:tcPr>
                  <w:tcW w:w="1708"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vMerge w:val="restart"/>
                  <w:noWrap w:val="0"/>
                  <w:vAlign w:val="center"/>
                </w:tcPr>
                <w:p>
                  <w:pPr>
                    <w:keepNext w:val="0"/>
                    <w:keepLines w:val="0"/>
                    <w:pageBreakBefore w:val="0"/>
                    <w:kinsoku/>
                    <w:wordWrap/>
                    <w:overflowPunct/>
                    <w:topLinePunct w:val="0"/>
                    <w:bidi w:val="0"/>
                    <w:spacing w:line="240" w:lineRule="auto"/>
                    <w:ind w:left="0"/>
                    <w:jc w:val="center"/>
                    <w:rPr>
                      <w:color w:val="auto"/>
                      <w:szCs w:val="21"/>
                      <w:highlight w:val="none"/>
                    </w:rPr>
                  </w:pPr>
                  <w:r>
                    <w:rPr>
                      <w:rFonts w:hint="eastAsia"/>
                      <w:color w:val="auto"/>
                      <w:szCs w:val="21"/>
                      <w:highlight w:val="none"/>
                      <w:lang w:val="en-US" w:eastAsia="zh-CN"/>
                    </w:rPr>
                    <w:t>污水处理设施</w:t>
                  </w:r>
                  <w:r>
                    <w:rPr>
                      <w:color w:val="auto"/>
                      <w:szCs w:val="21"/>
                      <w:highlight w:val="none"/>
                    </w:rPr>
                    <w:t>废气</w:t>
                  </w:r>
                  <w:r>
                    <w:rPr>
                      <w:rFonts w:hint="eastAsia"/>
                      <w:color w:val="auto"/>
                      <w:szCs w:val="21"/>
                      <w:highlight w:val="none"/>
                      <w:lang w:eastAsia="zh-CN"/>
                    </w:rPr>
                    <w:t>（</w:t>
                  </w:r>
                  <w:r>
                    <w:rPr>
                      <w:rFonts w:hint="eastAsia"/>
                      <w:color w:val="auto"/>
                      <w:szCs w:val="21"/>
                      <w:highlight w:val="none"/>
                      <w:lang w:val="en-US" w:eastAsia="zh-CN"/>
                    </w:rPr>
                    <w:t>无组织</w:t>
                  </w:r>
                  <w:r>
                    <w:rPr>
                      <w:rFonts w:hint="eastAsia"/>
                      <w:color w:val="auto"/>
                      <w:szCs w:val="21"/>
                      <w:highlight w:val="none"/>
                      <w:lang w:eastAsia="zh-CN"/>
                    </w:rPr>
                    <w:t>）</w:t>
                  </w:r>
                </w:p>
              </w:tc>
              <w:tc>
                <w:tcPr>
                  <w:tcW w:w="1963"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NH</w:t>
                  </w:r>
                  <w:r>
                    <w:rPr>
                      <w:color w:val="auto"/>
                      <w:szCs w:val="21"/>
                      <w:highlight w:val="none"/>
                      <w:vertAlign w:val="subscript"/>
                    </w:rPr>
                    <w:t>3</w:t>
                  </w:r>
                </w:p>
              </w:tc>
              <w:tc>
                <w:tcPr>
                  <w:tcW w:w="666"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r>
                    <w:rPr>
                      <w:rFonts w:hint="eastAsia" w:eastAsia="黑体" w:cs="Times New Roman"/>
                      <w:b w:val="0"/>
                      <w:bCs w:val="0"/>
                      <w:color w:val="auto"/>
                      <w:sz w:val="21"/>
                      <w:szCs w:val="21"/>
                      <w:highlight w:val="none"/>
                      <w:lang w:val="en-US" w:eastAsia="zh-CN"/>
                    </w:rPr>
                    <w:t>mg/m</w:t>
                  </w:r>
                  <w:r>
                    <w:rPr>
                      <w:rFonts w:hint="eastAsia" w:eastAsia="黑体" w:cs="Times New Roman"/>
                      <w:b w:val="0"/>
                      <w:bCs w:val="0"/>
                      <w:color w:val="auto"/>
                      <w:sz w:val="21"/>
                      <w:szCs w:val="21"/>
                      <w:highlight w:val="none"/>
                      <w:vertAlign w:val="superscript"/>
                      <w:lang w:val="en-US" w:eastAsia="zh-CN"/>
                    </w:rPr>
                    <w:t>3</w:t>
                  </w:r>
                </w:p>
              </w:tc>
              <w:tc>
                <w:tcPr>
                  <w:tcW w:w="1708" w:type="pct"/>
                  <w:vMerge w:val="restart"/>
                  <w:noWrap w:val="0"/>
                  <w:vAlign w:val="center"/>
                </w:tcPr>
                <w:p>
                  <w:pPr>
                    <w:keepNext w:val="0"/>
                    <w:keepLines w:val="0"/>
                    <w:pageBreakBefore w:val="0"/>
                    <w:kinsoku/>
                    <w:wordWrap/>
                    <w:overflowPunct/>
                    <w:topLinePunct w:val="0"/>
                    <w:bidi w:val="0"/>
                    <w:spacing w:line="240" w:lineRule="auto"/>
                    <w:ind w:left="0"/>
                    <w:jc w:val="center"/>
                    <w:rPr>
                      <w:color w:val="auto"/>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医疗机构水污染物排放标准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GB18466-2005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中表3中污水处理站周边大气污染物最高允许浓度标准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vMerge w:val="continue"/>
                  <w:noWrap w:val="0"/>
                  <w:vAlign w:val="center"/>
                </w:tcPr>
                <w:p>
                  <w:pPr>
                    <w:keepNext w:val="0"/>
                    <w:keepLines w:val="0"/>
                    <w:pageBreakBefore w:val="0"/>
                    <w:kinsoku/>
                    <w:wordWrap/>
                    <w:overflowPunct/>
                    <w:topLinePunct w:val="0"/>
                    <w:bidi w:val="0"/>
                    <w:spacing w:line="240" w:lineRule="auto"/>
                    <w:ind w:left="0"/>
                    <w:jc w:val="center"/>
                    <w:rPr>
                      <w:color w:val="auto"/>
                      <w:szCs w:val="21"/>
                      <w:highlight w:val="none"/>
                    </w:rPr>
                  </w:pPr>
                </w:p>
              </w:tc>
              <w:tc>
                <w:tcPr>
                  <w:tcW w:w="1963"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H</w:t>
                  </w:r>
                  <w:r>
                    <w:rPr>
                      <w:color w:val="auto"/>
                      <w:szCs w:val="21"/>
                      <w:highlight w:val="none"/>
                      <w:vertAlign w:val="subscript"/>
                    </w:rPr>
                    <w:t>2</w:t>
                  </w:r>
                  <w:r>
                    <w:rPr>
                      <w:color w:val="auto"/>
                      <w:szCs w:val="21"/>
                      <w:highlight w:val="none"/>
                    </w:rPr>
                    <w:t>S</w:t>
                  </w:r>
                </w:p>
              </w:tc>
              <w:tc>
                <w:tcPr>
                  <w:tcW w:w="666"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0.03</w:t>
                  </w:r>
                  <w:r>
                    <w:rPr>
                      <w:rFonts w:hint="eastAsia" w:eastAsia="黑体" w:cs="Times New Roman"/>
                      <w:b w:val="0"/>
                      <w:bCs w:val="0"/>
                      <w:color w:val="auto"/>
                      <w:sz w:val="21"/>
                      <w:szCs w:val="21"/>
                      <w:highlight w:val="none"/>
                      <w:lang w:val="en-US" w:eastAsia="zh-CN"/>
                    </w:rPr>
                    <w:t>mg/m</w:t>
                  </w:r>
                  <w:r>
                    <w:rPr>
                      <w:rFonts w:hint="eastAsia" w:eastAsia="黑体" w:cs="Times New Roman"/>
                      <w:b w:val="0"/>
                      <w:bCs w:val="0"/>
                      <w:color w:val="auto"/>
                      <w:sz w:val="21"/>
                      <w:szCs w:val="21"/>
                      <w:highlight w:val="none"/>
                      <w:vertAlign w:val="superscript"/>
                      <w:lang w:val="en-US" w:eastAsia="zh-CN"/>
                    </w:rPr>
                    <w:t>3</w:t>
                  </w:r>
                </w:p>
              </w:tc>
              <w:tc>
                <w:tcPr>
                  <w:tcW w:w="1708" w:type="pct"/>
                  <w:vMerge w:val="continue"/>
                  <w:noWrap w:val="0"/>
                  <w:vAlign w:val="center"/>
                </w:tcPr>
                <w:p>
                  <w:pPr>
                    <w:keepNext w:val="0"/>
                    <w:keepLines w:val="0"/>
                    <w:pageBreakBefore w:val="0"/>
                    <w:kinsoku/>
                    <w:wordWrap/>
                    <w:overflowPunct/>
                    <w:topLinePunct w:val="0"/>
                    <w:bidi w:val="0"/>
                    <w:spacing w:line="240" w:lineRule="auto"/>
                    <w:ind w:left="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vMerge w:val="continue"/>
                  <w:noWrap w:val="0"/>
                  <w:vAlign w:val="center"/>
                </w:tcPr>
                <w:p>
                  <w:pPr>
                    <w:keepNext w:val="0"/>
                    <w:keepLines w:val="0"/>
                    <w:pageBreakBefore w:val="0"/>
                    <w:kinsoku/>
                    <w:wordWrap/>
                    <w:overflowPunct/>
                    <w:topLinePunct w:val="0"/>
                    <w:bidi w:val="0"/>
                    <w:spacing w:line="240" w:lineRule="auto"/>
                    <w:ind w:left="0"/>
                    <w:jc w:val="center"/>
                    <w:textAlignment w:val="auto"/>
                    <w:rPr>
                      <w:color w:val="auto"/>
                      <w:highlight w:val="none"/>
                    </w:rPr>
                  </w:pPr>
                </w:p>
              </w:tc>
              <w:tc>
                <w:tcPr>
                  <w:tcW w:w="1963"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臭气浓度（无量纲）</w:t>
                  </w:r>
                </w:p>
              </w:tc>
              <w:tc>
                <w:tcPr>
                  <w:tcW w:w="666"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708" w:type="pct"/>
                  <w:vMerge w:val="continue"/>
                  <w:noWrap w:val="0"/>
                  <w:vAlign w:val="center"/>
                </w:tcPr>
                <w:p>
                  <w:pPr>
                    <w:keepNext w:val="0"/>
                    <w:keepLines w:val="0"/>
                    <w:pageBreakBefore w:val="0"/>
                    <w:kinsoku/>
                    <w:wordWrap/>
                    <w:overflowPunct/>
                    <w:topLinePunct w:val="0"/>
                    <w:bidi w:val="0"/>
                    <w:spacing w:line="240" w:lineRule="auto"/>
                    <w:ind w:left="0"/>
                    <w:jc w:val="center"/>
                    <w:textAlignment w:val="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vMerge w:val="continue"/>
                  <w:noWrap w:val="0"/>
                  <w:vAlign w:val="center"/>
                </w:tcPr>
                <w:p>
                  <w:pPr>
                    <w:keepNext w:val="0"/>
                    <w:keepLines w:val="0"/>
                    <w:pageBreakBefore w:val="0"/>
                    <w:kinsoku/>
                    <w:wordWrap/>
                    <w:overflowPunct/>
                    <w:topLinePunct w:val="0"/>
                    <w:bidi w:val="0"/>
                    <w:spacing w:line="240" w:lineRule="auto"/>
                    <w:ind w:left="0"/>
                    <w:jc w:val="center"/>
                    <w:textAlignment w:val="auto"/>
                    <w:rPr>
                      <w:color w:val="auto"/>
                      <w:szCs w:val="21"/>
                      <w:highlight w:val="none"/>
                    </w:rPr>
                  </w:pPr>
                </w:p>
              </w:tc>
              <w:tc>
                <w:tcPr>
                  <w:tcW w:w="1963"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氯气</w:t>
                  </w:r>
                </w:p>
              </w:tc>
              <w:tc>
                <w:tcPr>
                  <w:tcW w:w="666"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708" w:type="pct"/>
                  <w:vMerge w:val="continue"/>
                  <w:noWrap w:val="0"/>
                  <w:vAlign w:val="center"/>
                </w:tcPr>
                <w:p>
                  <w:pPr>
                    <w:keepNext w:val="0"/>
                    <w:keepLines w:val="0"/>
                    <w:pageBreakBefore w:val="0"/>
                    <w:kinsoku/>
                    <w:wordWrap/>
                    <w:overflowPunct/>
                    <w:topLinePunct w:val="0"/>
                    <w:bidi w:val="0"/>
                    <w:spacing w:line="240" w:lineRule="auto"/>
                    <w:ind w:left="0"/>
                    <w:jc w:val="center"/>
                    <w:textAlignment w:val="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vMerge w:val="continue"/>
                  <w:noWrap w:val="0"/>
                  <w:vAlign w:val="center"/>
                </w:tcPr>
                <w:p>
                  <w:pPr>
                    <w:keepNext w:val="0"/>
                    <w:keepLines w:val="0"/>
                    <w:pageBreakBefore w:val="0"/>
                    <w:kinsoku/>
                    <w:wordWrap/>
                    <w:overflowPunct/>
                    <w:topLinePunct w:val="0"/>
                    <w:bidi w:val="0"/>
                    <w:spacing w:line="240" w:lineRule="auto"/>
                    <w:ind w:left="0"/>
                    <w:jc w:val="center"/>
                    <w:textAlignment w:val="auto"/>
                    <w:rPr>
                      <w:color w:val="auto"/>
                      <w:szCs w:val="21"/>
                      <w:highlight w:val="none"/>
                    </w:rPr>
                  </w:pPr>
                </w:p>
              </w:tc>
              <w:tc>
                <w:tcPr>
                  <w:tcW w:w="1963"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甲烷（指处理站内最高体积百分数%）</w:t>
                  </w:r>
                </w:p>
              </w:tc>
              <w:tc>
                <w:tcPr>
                  <w:tcW w:w="666" w:type="pct"/>
                  <w:noWrap w:val="0"/>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708" w:type="pct"/>
                  <w:vMerge w:val="continue"/>
                  <w:noWrap w:val="0"/>
                  <w:vAlign w:val="center"/>
                </w:tcPr>
                <w:p>
                  <w:pPr>
                    <w:keepNext w:val="0"/>
                    <w:keepLines w:val="0"/>
                    <w:pageBreakBefore w:val="0"/>
                    <w:kinsoku/>
                    <w:wordWrap/>
                    <w:overflowPunct/>
                    <w:topLinePunct w:val="0"/>
                    <w:bidi w:val="0"/>
                    <w:spacing w:line="240" w:lineRule="auto"/>
                    <w:ind w:left="0"/>
                    <w:jc w:val="center"/>
                    <w:textAlignment w:val="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食堂油烟</w:t>
                  </w:r>
                </w:p>
              </w:tc>
              <w:tc>
                <w:tcPr>
                  <w:tcW w:w="1963"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油烟</w:t>
                  </w:r>
                </w:p>
              </w:tc>
              <w:tc>
                <w:tcPr>
                  <w:tcW w:w="666"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2.0mg/m</w:t>
                  </w:r>
                  <w:r>
                    <w:rPr>
                      <w:color w:val="auto"/>
                      <w:szCs w:val="21"/>
                      <w:highlight w:val="none"/>
                      <w:vertAlign w:val="superscript"/>
                    </w:rPr>
                    <w:t>3</w:t>
                  </w:r>
                </w:p>
              </w:tc>
              <w:tc>
                <w:tcPr>
                  <w:tcW w:w="1708"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《饮食业油烟排放标准（试行）》（GB18483-2001）</w:t>
                  </w:r>
                </w:p>
              </w:tc>
            </w:tr>
          </w:tbl>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2、废水</w:t>
            </w:r>
          </w:p>
          <w:p>
            <w:pPr>
              <w:keepNext w:val="0"/>
              <w:keepLines w:val="0"/>
              <w:pageBreakBefore w:val="0"/>
              <w:kinsoku/>
              <w:wordWrap/>
              <w:overflowPunct/>
              <w:topLinePunct w:val="0"/>
              <w:bidi w:val="0"/>
              <w:spacing w:line="360" w:lineRule="auto"/>
              <w:ind w:left="0" w:firstLine="480" w:firstLineChars="200"/>
              <w:rPr>
                <w:color w:val="auto"/>
                <w:kern w:val="0"/>
                <w:sz w:val="24"/>
                <w:highlight w:val="none"/>
              </w:rPr>
            </w:pPr>
            <w:r>
              <w:rPr>
                <w:color w:val="auto"/>
                <w:kern w:val="0"/>
                <w:sz w:val="24"/>
                <w:highlight w:val="none"/>
              </w:rPr>
              <w:t>执行《医疗机构水污染物排放标准》（GB18466-2005）中</w:t>
            </w:r>
            <w:r>
              <w:rPr>
                <w:rFonts w:hint="eastAsia"/>
                <w:color w:val="auto"/>
                <w:kern w:val="0"/>
                <w:sz w:val="24"/>
                <w:highlight w:val="none"/>
              </w:rPr>
              <w:t>表2</w:t>
            </w:r>
            <w:r>
              <w:rPr>
                <w:color w:val="auto"/>
                <w:kern w:val="0"/>
                <w:sz w:val="24"/>
                <w:highlight w:val="none"/>
              </w:rPr>
              <w:t>的预处理标准，NH</w:t>
            </w:r>
            <w:r>
              <w:rPr>
                <w:color w:val="auto"/>
                <w:kern w:val="0"/>
                <w:sz w:val="24"/>
                <w:highlight w:val="none"/>
                <w:vertAlign w:val="subscript"/>
              </w:rPr>
              <w:t>3</w:t>
            </w:r>
            <w:r>
              <w:rPr>
                <w:color w:val="auto"/>
                <w:kern w:val="0"/>
                <w:sz w:val="24"/>
                <w:highlight w:val="none"/>
              </w:rPr>
              <w:t>-N、TP参照执行《污水排入城镇下水道水质标准》（CB/T31962-2015）中</w:t>
            </w:r>
            <w:r>
              <w:rPr>
                <w:rFonts w:hint="eastAsia"/>
                <w:color w:val="auto"/>
                <w:kern w:val="0"/>
                <w:sz w:val="24"/>
                <w:highlight w:val="none"/>
              </w:rPr>
              <w:t>B级</w:t>
            </w:r>
            <w:r>
              <w:rPr>
                <w:color w:val="auto"/>
                <w:kern w:val="0"/>
                <w:sz w:val="24"/>
                <w:highlight w:val="none"/>
              </w:rPr>
              <w:t>标准。</w:t>
            </w:r>
          </w:p>
          <w:p>
            <w:pPr>
              <w:keepNext w:val="0"/>
              <w:keepLines w:val="0"/>
              <w:pageBreakBefore w:val="0"/>
              <w:kinsoku/>
              <w:wordWrap/>
              <w:overflowPunct/>
              <w:topLinePunct w:val="0"/>
              <w:bidi w:val="0"/>
              <w:snapToGrid w:val="0"/>
              <w:spacing w:line="360" w:lineRule="auto"/>
              <w:ind w:left="0"/>
              <w:jc w:val="center"/>
              <w:rPr>
                <w:rFonts w:eastAsia="黑体"/>
                <w:color w:val="auto"/>
                <w:szCs w:val="21"/>
                <w:highlight w:val="none"/>
              </w:rPr>
            </w:pPr>
            <w:r>
              <w:rPr>
                <w:rFonts w:eastAsia="黑体"/>
                <w:color w:val="auto"/>
                <w:szCs w:val="21"/>
                <w:highlight w:val="none"/>
              </w:rPr>
              <w:t>表3-</w:t>
            </w:r>
            <w:r>
              <w:rPr>
                <w:rFonts w:hint="eastAsia" w:eastAsia="黑体"/>
                <w:color w:val="auto"/>
                <w:szCs w:val="21"/>
                <w:highlight w:val="none"/>
                <w:lang w:val="en-US" w:eastAsia="zh-CN"/>
              </w:rPr>
              <w:t xml:space="preserve">9 </w:t>
            </w:r>
            <w:r>
              <w:rPr>
                <w:rFonts w:eastAsia="黑体"/>
                <w:color w:val="auto"/>
                <w:szCs w:val="21"/>
                <w:highlight w:val="none"/>
              </w:rPr>
              <w:t xml:space="preserve"> 水污染物排放限值</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558"/>
              <w:gridCol w:w="736"/>
              <w:gridCol w:w="778"/>
              <w:gridCol w:w="831"/>
              <w:gridCol w:w="519"/>
              <w:gridCol w:w="545"/>
              <w:gridCol w:w="900"/>
              <w:gridCol w:w="641"/>
              <w:gridCol w:w="668"/>
              <w:gridCol w:w="655"/>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项目</w:t>
                  </w:r>
                </w:p>
              </w:tc>
              <w:tc>
                <w:tcPr>
                  <w:tcW w:w="308" w:type="pct"/>
                  <w:noWrap w:val="0"/>
                  <w:vAlign w:val="center"/>
                </w:tcPr>
                <w:p>
                  <w:pPr>
                    <w:keepNext w:val="0"/>
                    <w:keepLines w:val="0"/>
                    <w:pageBreakBefore w:val="0"/>
                    <w:kinsoku/>
                    <w:wordWrap/>
                    <w:overflowPunct/>
                    <w:topLinePunct w:val="0"/>
                    <w:bidi w:val="0"/>
                    <w:spacing w:line="240" w:lineRule="auto"/>
                    <w:ind w:left="0"/>
                    <w:jc w:val="center"/>
                    <w:rPr>
                      <w:rFonts w:hint="default" w:eastAsia="宋体"/>
                      <w:b/>
                      <w:bCs/>
                      <w:color w:val="auto"/>
                      <w:szCs w:val="21"/>
                      <w:highlight w:val="none"/>
                      <w:lang w:val="en-US" w:eastAsia="zh-CN"/>
                    </w:rPr>
                  </w:pPr>
                  <w:r>
                    <w:rPr>
                      <w:rFonts w:hint="eastAsia"/>
                      <w:b/>
                      <w:bCs/>
                      <w:color w:val="auto"/>
                      <w:szCs w:val="21"/>
                      <w:highlight w:val="none"/>
                      <w:lang w:val="en-US" w:eastAsia="zh-CN"/>
                    </w:rPr>
                    <w:t>pH</w:t>
                  </w:r>
                </w:p>
              </w:tc>
              <w:tc>
                <w:tcPr>
                  <w:tcW w:w="406"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b/>
                      <w:bCs/>
                      <w:color w:val="auto"/>
                      <w:kern w:val="2"/>
                      <w:sz w:val="21"/>
                      <w:szCs w:val="21"/>
                      <w:highlight w:val="none"/>
                      <w:lang w:val="en-US" w:eastAsia="zh-CN" w:bidi="ar-SA"/>
                    </w:rPr>
                  </w:pPr>
                  <w:r>
                    <w:rPr>
                      <w:b/>
                      <w:bCs/>
                      <w:color w:val="auto"/>
                      <w:szCs w:val="21"/>
                      <w:highlight w:val="none"/>
                    </w:rPr>
                    <w:t>COD</w:t>
                  </w:r>
                </w:p>
              </w:tc>
              <w:tc>
                <w:tcPr>
                  <w:tcW w:w="429"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BOD</w:t>
                  </w:r>
                  <w:r>
                    <w:rPr>
                      <w:b/>
                      <w:bCs/>
                      <w:color w:val="auto"/>
                      <w:szCs w:val="21"/>
                      <w:highlight w:val="none"/>
                      <w:vertAlign w:val="subscript"/>
                    </w:rPr>
                    <w:t>5</w:t>
                  </w:r>
                </w:p>
              </w:tc>
              <w:tc>
                <w:tcPr>
                  <w:tcW w:w="458"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b/>
                      <w:bCs/>
                      <w:color w:val="auto"/>
                      <w:kern w:val="2"/>
                      <w:sz w:val="21"/>
                      <w:szCs w:val="21"/>
                      <w:highlight w:val="none"/>
                      <w:lang w:val="en-US" w:eastAsia="zh-CN" w:bidi="ar-SA"/>
                    </w:rPr>
                  </w:pPr>
                  <w:r>
                    <w:rPr>
                      <w:b/>
                      <w:bCs/>
                      <w:color w:val="auto"/>
                      <w:szCs w:val="21"/>
                      <w:highlight w:val="none"/>
                    </w:rPr>
                    <w:t>NH</w:t>
                  </w:r>
                  <w:r>
                    <w:rPr>
                      <w:b/>
                      <w:bCs/>
                      <w:color w:val="auto"/>
                      <w:szCs w:val="21"/>
                      <w:highlight w:val="none"/>
                      <w:vertAlign w:val="subscript"/>
                    </w:rPr>
                    <w:t>3</w:t>
                  </w:r>
                  <w:r>
                    <w:rPr>
                      <w:b/>
                      <w:bCs/>
                      <w:color w:val="auto"/>
                      <w:szCs w:val="21"/>
                      <w:highlight w:val="none"/>
                    </w:rPr>
                    <w:t>-N</w:t>
                  </w:r>
                </w:p>
              </w:tc>
              <w:tc>
                <w:tcPr>
                  <w:tcW w:w="286"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b/>
                      <w:bCs/>
                      <w:color w:val="auto"/>
                      <w:kern w:val="2"/>
                      <w:sz w:val="21"/>
                      <w:szCs w:val="21"/>
                      <w:highlight w:val="none"/>
                      <w:lang w:val="en-US" w:eastAsia="zh-CN" w:bidi="ar-SA"/>
                    </w:rPr>
                  </w:pPr>
                  <w:r>
                    <w:rPr>
                      <w:b/>
                      <w:bCs/>
                      <w:color w:val="auto"/>
                      <w:szCs w:val="21"/>
                      <w:highlight w:val="none"/>
                    </w:rPr>
                    <w:t>TP</w:t>
                  </w:r>
                </w:p>
              </w:tc>
              <w:tc>
                <w:tcPr>
                  <w:tcW w:w="300"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SS</w:t>
                  </w:r>
                </w:p>
              </w:tc>
              <w:tc>
                <w:tcPr>
                  <w:tcW w:w="496" w:type="pct"/>
                  <w:noWrap w:val="0"/>
                  <w:vAlign w:val="center"/>
                </w:tcPr>
                <w:p>
                  <w:pPr>
                    <w:keepNext w:val="0"/>
                    <w:keepLines w:val="0"/>
                    <w:pageBreakBefore w:val="0"/>
                    <w:kinsoku/>
                    <w:wordWrap/>
                    <w:overflowPunct/>
                    <w:topLinePunct w:val="0"/>
                    <w:bidi w:val="0"/>
                    <w:spacing w:line="240" w:lineRule="auto"/>
                    <w:ind w:left="0"/>
                    <w:jc w:val="center"/>
                    <w:rPr>
                      <w:rFonts w:hint="default" w:eastAsia="宋体"/>
                      <w:b/>
                      <w:bCs/>
                      <w:color w:val="auto"/>
                      <w:szCs w:val="21"/>
                      <w:highlight w:val="none"/>
                      <w:lang w:val="en-US" w:eastAsia="zh-CN"/>
                    </w:rPr>
                  </w:pPr>
                  <w:r>
                    <w:rPr>
                      <w:rFonts w:hint="eastAsia"/>
                      <w:b/>
                      <w:bCs/>
                      <w:color w:val="auto"/>
                      <w:szCs w:val="21"/>
                      <w:highlight w:val="none"/>
                      <w:lang w:val="en-US" w:eastAsia="zh-CN"/>
                    </w:rPr>
                    <w:t>粪大肠菌群</w:t>
                  </w:r>
                </w:p>
              </w:tc>
              <w:tc>
                <w:tcPr>
                  <w:tcW w:w="353" w:type="pct"/>
                  <w:noWrap w:val="0"/>
                  <w:vAlign w:val="center"/>
                </w:tcPr>
                <w:p>
                  <w:pPr>
                    <w:keepNext w:val="0"/>
                    <w:keepLines w:val="0"/>
                    <w:pageBreakBefore w:val="0"/>
                    <w:kinsoku/>
                    <w:wordWrap/>
                    <w:overflowPunct/>
                    <w:topLinePunct w:val="0"/>
                    <w:bidi w:val="0"/>
                    <w:spacing w:line="240" w:lineRule="auto"/>
                    <w:ind w:left="0"/>
                    <w:jc w:val="center"/>
                    <w:rPr>
                      <w:rFonts w:hint="default"/>
                      <w:b/>
                      <w:bCs/>
                      <w:color w:val="auto"/>
                      <w:szCs w:val="21"/>
                      <w:highlight w:val="none"/>
                      <w:lang w:val="en-US" w:eastAsia="zh-CN"/>
                    </w:rPr>
                  </w:pPr>
                  <w:r>
                    <w:rPr>
                      <w:rFonts w:hint="eastAsia"/>
                      <w:b/>
                      <w:bCs/>
                      <w:color w:val="auto"/>
                      <w:szCs w:val="21"/>
                      <w:highlight w:val="none"/>
                      <w:lang w:val="en-US" w:eastAsia="zh-CN"/>
                    </w:rPr>
                    <w:t>总余氯</w:t>
                  </w:r>
                </w:p>
              </w:tc>
              <w:tc>
                <w:tcPr>
                  <w:tcW w:w="368" w:type="pct"/>
                  <w:noWrap w:val="0"/>
                  <w:vAlign w:val="center"/>
                </w:tcPr>
                <w:p>
                  <w:pPr>
                    <w:keepNext w:val="0"/>
                    <w:keepLines w:val="0"/>
                    <w:pageBreakBefore w:val="0"/>
                    <w:kinsoku/>
                    <w:wordWrap/>
                    <w:overflowPunct/>
                    <w:topLinePunct w:val="0"/>
                    <w:bidi w:val="0"/>
                    <w:spacing w:line="240" w:lineRule="auto"/>
                    <w:ind w:left="0"/>
                    <w:jc w:val="center"/>
                    <w:rPr>
                      <w:b/>
                      <w:bCs/>
                      <w:color w:val="auto"/>
                      <w:szCs w:val="21"/>
                      <w:highlight w:val="none"/>
                    </w:rPr>
                  </w:pPr>
                  <w:r>
                    <w:rPr>
                      <w:b/>
                      <w:bCs/>
                      <w:color w:val="auto"/>
                      <w:szCs w:val="21"/>
                      <w:highlight w:val="none"/>
                    </w:rPr>
                    <w:t>动植物油</w:t>
                  </w:r>
                </w:p>
              </w:tc>
              <w:tc>
                <w:tcPr>
                  <w:tcW w:w="361" w:type="pct"/>
                  <w:noWrap w:val="0"/>
                  <w:vAlign w:val="center"/>
                </w:tcPr>
                <w:p>
                  <w:pPr>
                    <w:keepNext w:val="0"/>
                    <w:keepLines w:val="0"/>
                    <w:pageBreakBefore w:val="0"/>
                    <w:kinsoku/>
                    <w:wordWrap/>
                    <w:overflowPunct/>
                    <w:topLinePunct w:val="0"/>
                    <w:bidi w:val="0"/>
                    <w:spacing w:line="240" w:lineRule="auto"/>
                    <w:ind w:left="0"/>
                    <w:jc w:val="center"/>
                    <w:rPr>
                      <w:rFonts w:hint="eastAsia" w:eastAsia="宋体"/>
                      <w:b/>
                      <w:bCs/>
                      <w:color w:val="auto"/>
                      <w:szCs w:val="21"/>
                      <w:highlight w:val="none"/>
                      <w:lang w:val="en-US" w:eastAsia="zh-CN"/>
                    </w:rPr>
                  </w:pPr>
                  <w:r>
                    <w:rPr>
                      <w:rFonts w:hint="eastAsia"/>
                      <w:b/>
                      <w:bCs/>
                      <w:color w:val="auto"/>
                      <w:szCs w:val="21"/>
                      <w:highlight w:val="none"/>
                      <w:lang w:val="en-US" w:eastAsia="zh-CN"/>
                    </w:rPr>
                    <w:t>石油类</w:t>
                  </w:r>
                </w:p>
              </w:tc>
              <w:tc>
                <w:tcPr>
                  <w:tcW w:w="679" w:type="pct"/>
                  <w:noWrap w:val="0"/>
                  <w:vAlign w:val="center"/>
                </w:tcPr>
                <w:p>
                  <w:pPr>
                    <w:keepNext w:val="0"/>
                    <w:keepLines w:val="0"/>
                    <w:pageBreakBefore w:val="0"/>
                    <w:kinsoku/>
                    <w:wordWrap/>
                    <w:overflowPunct/>
                    <w:topLinePunct w:val="0"/>
                    <w:bidi w:val="0"/>
                    <w:spacing w:line="240" w:lineRule="auto"/>
                    <w:ind w:left="0"/>
                    <w:jc w:val="center"/>
                    <w:rPr>
                      <w:rFonts w:hint="default" w:eastAsia="宋体"/>
                      <w:b/>
                      <w:bCs/>
                      <w:color w:val="auto"/>
                      <w:szCs w:val="21"/>
                      <w:highlight w:val="none"/>
                      <w:lang w:val="en-US" w:eastAsia="zh-CN"/>
                    </w:rPr>
                  </w:pPr>
                  <w:r>
                    <w:rPr>
                      <w:rFonts w:hint="eastAsia"/>
                      <w:b/>
                      <w:bCs/>
                      <w:color w:val="auto"/>
                      <w:szCs w:val="21"/>
                      <w:highlight w:val="none"/>
                      <w:lang w:val="en-US" w:eastAsia="zh-CN"/>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noWrap w:val="0"/>
                  <w:vAlign w:val="center"/>
                </w:tcPr>
                <w:p>
                  <w:pPr>
                    <w:keepNext w:val="0"/>
                    <w:keepLines w:val="0"/>
                    <w:pageBreakBefore w:val="0"/>
                    <w:kinsoku/>
                    <w:wordWrap/>
                    <w:overflowPunct/>
                    <w:topLinePunct w:val="0"/>
                    <w:bidi w:val="0"/>
                    <w:spacing w:line="240" w:lineRule="auto"/>
                    <w:ind w:left="0"/>
                    <w:jc w:val="center"/>
                    <w:rPr>
                      <w:color w:val="auto"/>
                      <w:szCs w:val="21"/>
                      <w:highlight w:val="none"/>
                    </w:rPr>
                  </w:pPr>
                  <w:r>
                    <w:rPr>
                      <w:color w:val="auto"/>
                      <w:szCs w:val="21"/>
                      <w:highlight w:val="none"/>
                    </w:rPr>
                    <w:t>标准值（mg/L）</w:t>
                  </w:r>
                </w:p>
              </w:tc>
              <w:tc>
                <w:tcPr>
                  <w:tcW w:w="308" w:type="pct"/>
                  <w:noWrap w:val="0"/>
                  <w:vAlign w:val="center"/>
                </w:tcPr>
                <w:p>
                  <w:pPr>
                    <w:keepNext w:val="0"/>
                    <w:keepLines w:val="0"/>
                    <w:pageBreakBefore w:val="0"/>
                    <w:kinsoku/>
                    <w:wordWrap/>
                    <w:overflowPunct/>
                    <w:topLinePunct w:val="0"/>
                    <w:bidi w:val="0"/>
                    <w:spacing w:line="240" w:lineRule="auto"/>
                    <w:ind w:left="0"/>
                    <w:jc w:val="center"/>
                    <w:rPr>
                      <w:rFonts w:hint="default" w:eastAsia="宋体"/>
                      <w:color w:val="auto"/>
                      <w:szCs w:val="21"/>
                      <w:highlight w:val="none"/>
                      <w:lang w:val="en-US" w:eastAsia="zh-CN"/>
                    </w:rPr>
                  </w:pPr>
                  <w:r>
                    <w:rPr>
                      <w:rFonts w:hint="eastAsia"/>
                      <w:color w:val="auto"/>
                      <w:szCs w:val="21"/>
                      <w:highlight w:val="none"/>
                      <w:lang w:val="en-US" w:eastAsia="zh-CN"/>
                    </w:rPr>
                    <w:t>6~9</w:t>
                  </w:r>
                </w:p>
              </w:tc>
              <w:tc>
                <w:tcPr>
                  <w:tcW w:w="406"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250</w:t>
                  </w:r>
                </w:p>
              </w:tc>
              <w:tc>
                <w:tcPr>
                  <w:tcW w:w="429" w:type="pct"/>
                  <w:noWrap w:val="0"/>
                  <w:vAlign w:val="center"/>
                </w:tcPr>
                <w:p>
                  <w:pPr>
                    <w:keepNext w:val="0"/>
                    <w:keepLines w:val="0"/>
                    <w:pageBreakBefore w:val="0"/>
                    <w:kinsoku/>
                    <w:wordWrap/>
                    <w:overflowPunct/>
                    <w:topLinePunct w:val="0"/>
                    <w:bidi w:val="0"/>
                    <w:spacing w:line="240" w:lineRule="auto"/>
                    <w:ind w:left="0"/>
                    <w:jc w:val="center"/>
                    <w:rPr>
                      <w:color w:val="auto"/>
                      <w:szCs w:val="21"/>
                      <w:highlight w:val="none"/>
                    </w:rPr>
                  </w:pPr>
                  <w:r>
                    <w:rPr>
                      <w:color w:val="auto"/>
                      <w:szCs w:val="21"/>
                      <w:highlight w:val="none"/>
                    </w:rPr>
                    <w:t>100</w:t>
                  </w:r>
                </w:p>
              </w:tc>
              <w:tc>
                <w:tcPr>
                  <w:tcW w:w="458"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45</w:t>
                  </w:r>
                </w:p>
              </w:tc>
              <w:tc>
                <w:tcPr>
                  <w:tcW w:w="286" w:type="pct"/>
                  <w:noWrap w:val="0"/>
                  <w:vAlign w:val="center"/>
                </w:tcPr>
                <w:p>
                  <w:pPr>
                    <w:keepNext w:val="0"/>
                    <w:keepLines w:val="0"/>
                    <w:pageBreakBefore w:val="0"/>
                    <w:kinsoku/>
                    <w:wordWrap/>
                    <w:overflowPunct/>
                    <w:topLinePunct w:val="0"/>
                    <w:bidi w:val="0"/>
                    <w:spacing w:line="240" w:lineRule="auto"/>
                    <w:ind w:left="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8</w:t>
                  </w:r>
                </w:p>
              </w:tc>
              <w:tc>
                <w:tcPr>
                  <w:tcW w:w="300" w:type="pct"/>
                  <w:noWrap w:val="0"/>
                  <w:vAlign w:val="center"/>
                </w:tcPr>
                <w:p>
                  <w:pPr>
                    <w:keepNext w:val="0"/>
                    <w:keepLines w:val="0"/>
                    <w:pageBreakBefore w:val="0"/>
                    <w:kinsoku/>
                    <w:wordWrap/>
                    <w:overflowPunct/>
                    <w:topLinePunct w:val="0"/>
                    <w:bidi w:val="0"/>
                    <w:spacing w:line="240" w:lineRule="auto"/>
                    <w:ind w:left="0"/>
                    <w:jc w:val="center"/>
                    <w:rPr>
                      <w:color w:val="auto"/>
                      <w:szCs w:val="21"/>
                      <w:highlight w:val="none"/>
                    </w:rPr>
                  </w:pPr>
                  <w:r>
                    <w:rPr>
                      <w:color w:val="auto"/>
                      <w:szCs w:val="21"/>
                      <w:highlight w:val="none"/>
                    </w:rPr>
                    <w:t>60</w:t>
                  </w:r>
                </w:p>
              </w:tc>
              <w:tc>
                <w:tcPr>
                  <w:tcW w:w="496" w:type="pct"/>
                  <w:noWrap w:val="0"/>
                  <w:vAlign w:val="center"/>
                </w:tcPr>
                <w:p>
                  <w:pPr>
                    <w:keepNext w:val="0"/>
                    <w:keepLines w:val="0"/>
                    <w:pageBreakBefore w:val="0"/>
                    <w:kinsoku/>
                    <w:wordWrap/>
                    <w:overflowPunct/>
                    <w:topLinePunct w:val="0"/>
                    <w:bidi w:val="0"/>
                    <w:spacing w:line="240" w:lineRule="auto"/>
                    <w:ind w:left="0"/>
                    <w:jc w:val="center"/>
                    <w:rPr>
                      <w:rFonts w:hint="default" w:eastAsia="宋体"/>
                      <w:color w:val="auto"/>
                      <w:szCs w:val="21"/>
                      <w:highlight w:val="none"/>
                      <w:lang w:val="en-US" w:eastAsia="zh-CN"/>
                    </w:rPr>
                  </w:pPr>
                  <w:r>
                    <w:rPr>
                      <w:rFonts w:hint="eastAsia"/>
                      <w:color w:val="auto"/>
                      <w:szCs w:val="21"/>
                      <w:highlight w:val="none"/>
                      <w:lang w:val="en-US" w:eastAsia="zh-CN"/>
                    </w:rPr>
                    <w:t>5000</w:t>
                  </w:r>
                </w:p>
              </w:tc>
              <w:tc>
                <w:tcPr>
                  <w:tcW w:w="353" w:type="pct"/>
                  <w:noWrap w:val="0"/>
                  <w:vAlign w:val="center"/>
                </w:tcPr>
                <w:p>
                  <w:pPr>
                    <w:keepNext w:val="0"/>
                    <w:keepLines w:val="0"/>
                    <w:pageBreakBefore w:val="0"/>
                    <w:kinsoku/>
                    <w:wordWrap/>
                    <w:overflowPunct/>
                    <w:topLinePunct w:val="0"/>
                    <w:bidi w:val="0"/>
                    <w:spacing w:line="240" w:lineRule="auto"/>
                    <w:ind w:left="0"/>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368" w:type="pct"/>
                  <w:noWrap w:val="0"/>
                  <w:vAlign w:val="center"/>
                </w:tcPr>
                <w:p>
                  <w:pPr>
                    <w:keepNext w:val="0"/>
                    <w:keepLines w:val="0"/>
                    <w:pageBreakBefore w:val="0"/>
                    <w:kinsoku/>
                    <w:wordWrap/>
                    <w:overflowPunct/>
                    <w:topLinePunct w:val="0"/>
                    <w:bidi w:val="0"/>
                    <w:spacing w:line="240" w:lineRule="auto"/>
                    <w:ind w:left="0"/>
                    <w:jc w:val="center"/>
                    <w:rPr>
                      <w:rFonts w:hint="eastAsia" w:eastAsia="宋体"/>
                      <w:color w:val="auto"/>
                      <w:szCs w:val="21"/>
                      <w:highlight w:val="none"/>
                      <w:lang w:eastAsia="zh-CN"/>
                    </w:rPr>
                  </w:pPr>
                  <w:r>
                    <w:rPr>
                      <w:color w:val="auto"/>
                      <w:szCs w:val="21"/>
                      <w:highlight w:val="none"/>
                    </w:rPr>
                    <w:t>2</w:t>
                  </w:r>
                  <w:r>
                    <w:rPr>
                      <w:rFonts w:hint="eastAsia"/>
                      <w:color w:val="auto"/>
                      <w:szCs w:val="21"/>
                      <w:highlight w:val="none"/>
                      <w:lang w:val="en-US" w:eastAsia="zh-CN"/>
                    </w:rPr>
                    <w:t>0</w:t>
                  </w:r>
                </w:p>
              </w:tc>
              <w:tc>
                <w:tcPr>
                  <w:tcW w:w="361" w:type="pct"/>
                  <w:noWrap w:val="0"/>
                  <w:vAlign w:val="center"/>
                </w:tcPr>
                <w:p>
                  <w:pPr>
                    <w:keepNext w:val="0"/>
                    <w:keepLines w:val="0"/>
                    <w:pageBreakBefore w:val="0"/>
                    <w:kinsoku/>
                    <w:wordWrap/>
                    <w:overflowPunct/>
                    <w:topLinePunct w:val="0"/>
                    <w:bidi w:val="0"/>
                    <w:spacing w:line="240" w:lineRule="auto"/>
                    <w:ind w:left="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679" w:type="pct"/>
                  <w:noWrap w:val="0"/>
                  <w:vAlign w:val="center"/>
                </w:tcPr>
                <w:p>
                  <w:pPr>
                    <w:keepNext w:val="0"/>
                    <w:keepLines w:val="0"/>
                    <w:pageBreakBefore w:val="0"/>
                    <w:kinsoku/>
                    <w:wordWrap/>
                    <w:overflowPunct/>
                    <w:topLinePunct w:val="0"/>
                    <w:bidi w:val="0"/>
                    <w:spacing w:line="240" w:lineRule="auto"/>
                    <w:ind w:left="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bl>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3、噪声</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营运期</w:t>
            </w:r>
            <w:r>
              <w:rPr>
                <w:rFonts w:hint="default" w:ascii="Times New Roman" w:hAnsi="Times New Roman" w:cs="Times New Roman"/>
                <w:color w:val="auto"/>
                <w:sz w:val="24"/>
                <w:szCs w:val="24"/>
                <w:highlight w:val="none"/>
              </w:rPr>
              <w:t>执行《工业企业厂界环境噪声排放标准》（GB12348-2008）2类标准。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表3-</w:t>
            </w:r>
            <w:r>
              <w:rPr>
                <w:rFonts w:hint="eastAsia" w:eastAsia="黑体" w:cs="Times New Roman"/>
                <w:b w:val="0"/>
                <w:bCs w:val="0"/>
                <w:color w:val="auto"/>
                <w:sz w:val="21"/>
                <w:szCs w:val="21"/>
                <w:highlight w:val="none"/>
                <w:lang w:val="en-US" w:eastAsia="zh-CN"/>
              </w:rPr>
              <w:t>10</w:t>
            </w:r>
            <w:r>
              <w:rPr>
                <w:rFonts w:hint="default" w:ascii="Times New Roman" w:hAnsi="Times New Roman" w:eastAsia="黑体" w:cs="Times New Roman"/>
                <w:b w:val="0"/>
                <w:bCs w:val="0"/>
                <w:color w:val="auto"/>
                <w:sz w:val="21"/>
                <w:szCs w:val="21"/>
                <w:highlight w:val="none"/>
                <w:lang w:val="en-US" w:eastAsia="zh-CN"/>
              </w:rPr>
              <w:t xml:space="preserve">  噪声排放标准限值</w:t>
            </w:r>
            <w:r>
              <w:rPr>
                <w:rFonts w:hint="eastAsia" w:eastAsia="黑体" w:cs="Times New Roman"/>
                <w:b w:val="0"/>
                <w:bCs w:val="0"/>
                <w:color w:val="auto"/>
                <w:sz w:val="21"/>
                <w:szCs w:val="21"/>
                <w:highlight w:val="none"/>
                <w:lang w:val="en-US" w:eastAsia="zh-CN"/>
              </w:rPr>
              <w:t xml:space="preserve">  单位：</w:t>
            </w:r>
            <w:r>
              <w:rPr>
                <w:rFonts w:hint="default" w:ascii="Times New Roman" w:hAnsi="Times New Roman" w:cs="Times New Roman"/>
                <w:color w:val="auto"/>
                <w:sz w:val="21"/>
                <w:szCs w:val="21"/>
                <w:highlight w:val="none"/>
              </w:rPr>
              <w:t>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9"/>
              <w:gridCol w:w="2911"/>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shd w:val="clear" w:color="auto" w:fill="auto"/>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606" w:type="pct"/>
                  <w:shd w:val="clear" w:color="auto" w:fill="auto"/>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1606" w:type="pct"/>
                  <w:shd w:val="clear" w:color="auto" w:fill="auto"/>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shd w:val="clear" w:color="auto" w:fill="auto"/>
                  <w:vAlign w:val="center"/>
                </w:tcPr>
                <w:p>
                  <w:pPr>
                    <w:keepNext w:val="0"/>
                    <w:keepLines w:val="0"/>
                    <w:pageBreakBefore w:val="0"/>
                    <w:kinsoku/>
                    <w:wordWrap/>
                    <w:overflowPunct/>
                    <w:topLinePunct w:val="0"/>
                    <w:bidi w:val="0"/>
                    <w:spacing w:line="240" w:lineRule="auto"/>
                    <w:ind w:left="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营运期</w:t>
                  </w:r>
                  <w:r>
                    <w:rPr>
                      <w:rFonts w:hint="default" w:ascii="Times New Roman" w:hAnsi="Times New Roman" w:cs="Times New Roman"/>
                      <w:color w:val="auto"/>
                      <w:sz w:val="21"/>
                      <w:szCs w:val="21"/>
                      <w:highlight w:val="none"/>
                    </w:rPr>
                    <w:t>排放限值</w:t>
                  </w:r>
                </w:p>
              </w:tc>
              <w:tc>
                <w:tcPr>
                  <w:tcW w:w="1606" w:type="pct"/>
                  <w:shd w:val="clear" w:color="auto" w:fill="auto"/>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1606" w:type="pct"/>
                  <w:shd w:val="clear" w:color="auto" w:fill="auto"/>
                  <w:vAlign w:val="center"/>
                </w:tcPr>
                <w:p>
                  <w:pPr>
                    <w:keepNext w:val="0"/>
                    <w:keepLines w:val="0"/>
                    <w:pageBreakBefore w:val="0"/>
                    <w:kinsoku/>
                    <w:wordWrap/>
                    <w:overflowPunct/>
                    <w:topLinePunct w:val="0"/>
                    <w:bidi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bl>
          <w:p>
            <w:pPr>
              <w:keepNext w:val="0"/>
              <w:keepLines w:val="0"/>
              <w:pageBreakBefore w:val="0"/>
              <w:kinsoku/>
              <w:wordWrap/>
              <w:overflowPunct/>
              <w:topLinePunct w:val="0"/>
              <w:bidi w:val="0"/>
              <w:spacing w:line="360" w:lineRule="auto"/>
              <w:ind w:lef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4、固体废物</w:t>
            </w:r>
          </w:p>
          <w:p>
            <w:pPr>
              <w:keepNext w:val="0"/>
              <w:keepLines w:val="0"/>
              <w:pageBreakBefore w:val="0"/>
              <w:kinsoku/>
              <w:wordWrap/>
              <w:overflowPunct/>
              <w:topLinePunct w:val="0"/>
              <w:bidi w:val="0"/>
              <w:spacing w:line="360" w:lineRule="auto"/>
              <w:ind w:left="0" w:firstLine="480" w:firstLineChars="200"/>
              <w:textAlignment w:val="auto"/>
              <w:rPr>
                <w:rFonts w:hint="default" w:ascii="Times New Roman" w:hAnsi="Times New Roman" w:cs="Times New Roman"/>
                <w:color w:val="auto"/>
                <w:sz w:val="24"/>
                <w:szCs w:val="24"/>
                <w:highlight w:val="none"/>
              </w:rPr>
            </w:pPr>
            <w:r>
              <w:rPr>
                <w:color w:val="auto"/>
                <w:kern w:val="0"/>
                <w:sz w:val="24"/>
                <w:highlight w:val="none"/>
              </w:rPr>
              <w:t>一般固废按照《中华人民共和国固体废物污染环境防治法</w:t>
            </w:r>
            <w:r>
              <w:rPr>
                <w:rFonts w:hint="eastAsia"/>
                <w:color w:val="auto"/>
                <w:kern w:val="0"/>
                <w:sz w:val="24"/>
                <w:highlight w:val="none"/>
                <w:lang w:eastAsia="zh-CN"/>
              </w:rPr>
              <w:t>》《</w:t>
            </w:r>
            <w:r>
              <w:rPr>
                <w:color w:val="auto"/>
                <w:sz w:val="24"/>
                <w:highlight w:val="none"/>
              </w:rPr>
              <w:t>一般工业固体废物贮存和填埋污染控制标准》（GB18597-2020）</w:t>
            </w:r>
            <w:r>
              <w:rPr>
                <w:color w:val="auto"/>
                <w:kern w:val="0"/>
                <w:sz w:val="24"/>
                <w:highlight w:val="none"/>
              </w:rPr>
              <w:t>和</w:t>
            </w:r>
            <w:r>
              <w:rPr>
                <w:rFonts w:hint="eastAsia"/>
                <w:color w:val="auto"/>
                <w:kern w:val="0"/>
                <w:sz w:val="24"/>
                <w:highlight w:val="none"/>
              </w:rPr>
              <w:t>《一般固废分类与代码》（G</w:t>
            </w:r>
            <w:r>
              <w:rPr>
                <w:color w:val="auto"/>
                <w:kern w:val="0"/>
                <w:sz w:val="24"/>
                <w:highlight w:val="none"/>
              </w:rPr>
              <w:t>B/T39198-2020</w:t>
            </w:r>
            <w:r>
              <w:rPr>
                <w:rFonts w:hint="eastAsia"/>
                <w:color w:val="auto"/>
                <w:kern w:val="0"/>
                <w:sz w:val="24"/>
                <w:highlight w:val="none"/>
              </w:rPr>
              <w:t>）</w:t>
            </w:r>
            <w:r>
              <w:rPr>
                <w:color w:val="auto"/>
                <w:kern w:val="0"/>
                <w:sz w:val="24"/>
                <w:highlight w:val="none"/>
              </w:rPr>
              <w:t>进行分类</w:t>
            </w:r>
            <w:r>
              <w:rPr>
                <w:rFonts w:hint="eastAsia"/>
                <w:color w:val="auto"/>
                <w:kern w:val="0"/>
                <w:sz w:val="24"/>
                <w:highlight w:val="none"/>
              </w:rPr>
              <w:t>、</w:t>
            </w:r>
            <w:r>
              <w:rPr>
                <w:color w:val="auto"/>
                <w:kern w:val="0"/>
                <w:sz w:val="24"/>
                <w:highlight w:val="none"/>
              </w:rPr>
              <w:t>管理和处置，危险废物按照《危险废物贮存污染控制标准》（GB18597-2001）及2013年修订版、《医疗废物管理条例》等中相关要求。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474" w:type="dxa"/>
            <w:vAlign w:val="center"/>
          </w:tcPr>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总量</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控制</w:t>
            </w:r>
          </w:p>
          <w:p>
            <w:pPr>
              <w:keepNext w:val="0"/>
              <w:keepLines w:val="0"/>
              <w:pageBreakBefore w:val="0"/>
              <w:kinsoku/>
              <w:wordWrap/>
              <w:overflowPunct/>
              <w:topLinePunct w:val="0"/>
              <w:bidi w:val="0"/>
              <w:spacing w:line="360" w:lineRule="auto"/>
              <w:ind w:lef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指标</w:t>
            </w:r>
          </w:p>
        </w:tc>
        <w:tc>
          <w:tcPr>
            <w:tcW w:w="9288" w:type="dxa"/>
            <w:vAlign w:val="center"/>
          </w:tcPr>
          <w:p>
            <w:pPr>
              <w:keepNext w:val="0"/>
              <w:keepLines w:val="0"/>
              <w:pageBreakBefore w:val="0"/>
              <w:kinsoku/>
              <w:wordWrap/>
              <w:overflowPunct/>
              <w:topLinePunct w:val="0"/>
              <w:bidi w:val="0"/>
              <w:adjustRightInd w:val="0"/>
              <w:snapToGrid w:val="0"/>
              <w:spacing w:line="360" w:lineRule="auto"/>
              <w:ind w:left="0" w:firstLine="480" w:firstLineChars="200"/>
              <w:rPr>
                <w:color w:val="auto"/>
                <w:kern w:val="0"/>
                <w:sz w:val="24"/>
                <w:highlight w:val="none"/>
              </w:rPr>
            </w:pPr>
            <w:r>
              <w:rPr>
                <w:color w:val="auto"/>
                <w:kern w:val="0"/>
                <w:sz w:val="24"/>
                <w:highlight w:val="none"/>
              </w:rPr>
              <w:t>本项目涉及的总量控制指标为化学需氧量（COD）、氨氮（NH</w:t>
            </w:r>
            <w:r>
              <w:rPr>
                <w:color w:val="auto"/>
                <w:kern w:val="0"/>
                <w:sz w:val="24"/>
                <w:highlight w:val="none"/>
                <w:vertAlign w:val="subscript"/>
              </w:rPr>
              <w:t>3</w:t>
            </w:r>
            <w:r>
              <w:rPr>
                <w:color w:val="auto"/>
                <w:kern w:val="0"/>
                <w:sz w:val="24"/>
                <w:highlight w:val="none"/>
              </w:rPr>
              <w:t>-N）、</w:t>
            </w:r>
            <w:r>
              <w:rPr>
                <w:rFonts w:hint="eastAsia"/>
                <w:color w:val="auto"/>
                <w:kern w:val="0"/>
                <w:sz w:val="24"/>
                <w:highlight w:val="none"/>
              </w:rPr>
              <w:t>总磷（TP）</w:t>
            </w:r>
            <w:r>
              <w:rPr>
                <w:color w:val="auto"/>
                <w:kern w:val="0"/>
                <w:sz w:val="24"/>
                <w:highlight w:val="none"/>
              </w:rPr>
              <w:t>，</w:t>
            </w:r>
            <w:r>
              <w:rPr>
                <w:b/>
                <w:color w:val="auto"/>
                <w:kern w:val="0"/>
                <w:sz w:val="24"/>
                <w:highlight w:val="none"/>
              </w:rPr>
              <w:t>所有指标采用排放标准法核算各污染物排放量，</w:t>
            </w:r>
            <w:r>
              <w:rPr>
                <w:color w:val="auto"/>
                <w:kern w:val="0"/>
                <w:sz w:val="24"/>
                <w:highlight w:val="none"/>
              </w:rPr>
              <w:t>其主要计算过程如下：</w:t>
            </w:r>
          </w:p>
          <w:p>
            <w:pPr>
              <w:keepNext w:val="0"/>
              <w:keepLines w:val="0"/>
              <w:pageBreakBefore w:val="0"/>
              <w:kinsoku/>
              <w:wordWrap/>
              <w:overflowPunct/>
              <w:topLinePunct w:val="0"/>
              <w:bidi w:val="0"/>
              <w:adjustRightInd w:val="0"/>
              <w:snapToGrid w:val="0"/>
              <w:spacing w:line="360" w:lineRule="auto"/>
              <w:ind w:left="0" w:firstLine="482" w:firstLineChars="200"/>
              <w:rPr>
                <w:rFonts w:hint="default" w:eastAsia="宋体"/>
                <w:b/>
                <w:bCs/>
                <w:color w:val="auto"/>
                <w:kern w:val="0"/>
                <w:sz w:val="24"/>
                <w:highlight w:val="none"/>
                <w:lang w:val="en-US" w:eastAsia="zh-CN"/>
              </w:rPr>
            </w:pPr>
            <w:r>
              <w:rPr>
                <w:rFonts w:hint="eastAsia"/>
                <w:b/>
                <w:bCs/>
                <w:color w:val="auto"/>
                <w:kern w:val="0"/>
                <w:sz w:val="24"/>
                <w:highlight w:val="none"/>
                <w:lang w:val="en-US" w:eastAsia="zh-CN"/>
              </w:rPr>
              <w:t>1、水污染物总量控制指标</w:t>
            </w:r>
          </w:p>
          <w:p>
            <w:pPr>
              <w:keepNext w:val="0"/>
              <w:keepLines w:val="0"/>
              <w:pageBreakBefore w:val="0"/>
              <w:kinsoku/>
              <w:wordWrap/>
              <w:overflowPunct/>
              <w:topLinePunct w:val="0"/>
              <w:bidi w:val="0"/>
              <w:adjustRightInd w:val="0"/>
              <w:snapToGrid w:val="0"/>
              <w:spacing w:line="360" w:lineRule="auto"/>
              <w:ind w:left="0"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本项目污水排放量72.72m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/d、26542.80m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/a，生活污水、医疗废水和其他废水经一体化处理设施处理后达《医疗机构水污染物排放标准》（GB18466-2005）中的预处理标准排入市政污水管网，后排入宣汉县城市生活污水处理厂</w:t>
            </w:r>
            <w:r>
              <w:rPr>
                <w:rFonts w:hint="eastAsia"/>
                <w:color w:val="auto"/>
                <w:kern w:val="0"/>
                <w:sz w:val="24"/>
                <w:highlight w:val="none"/>
              </w:rPr>
              <w:t>进行处理，</w:t>
            </w:r>
            <w:r>
              <w:rPr>
                <w:color w:val="auto"/>
                <w:kern w:val="0"/>
                <w:sz w:val="24"/>
                <w:highlight w:val="none"/>
              </w:rPr>
              <w:t>处理达《</w:t>
            </w:r>
            <w:r>
              <w:rPr>
                <w:rFonts w:hint="eastAsia"/>
                <w:color w:val="auto"/>
                <w:kern w:val="0"/>
                <w:sz w:val="24"/>
                <w:highlight w:val="none"/>
              </w:rPr>
              <w:t>城镇污水处理厂</w:t>
            </w:r>
            <w:r>
              <w:rPr>
                <w:color w:val="auto"/>
                <w:kern w:val="0"/>
                <w:sz w:val="24"/>
                <w:highlight w:val="none"/>
              </w:rPr>
              <w:t>污染物排放标准》（</w:t>
            </w:r>
            <w:r>
              <w:rPr>
                <w:rFonts w:hint="eastAsia"/>
                <w:color w:val="auto"/>
                <w:kern w:val="0"/>
                <w:sz w:val="24"/>
                <w:highlight w:val="none"/>
              </w:rPr>
              <w:t>GB</w:t>
            </w:r>
            <w:r>
              <w:rPr>
                <w:color w:val="auto"/>
                <w:kern w:val="0"/>
                <w:sz w:val="24"/>
                <w:highlight w:val="none"/>
              </w:rPr>
              <w:t>18918</w:t>
            </w:r>
            <w:r>
              <w:rPr>
                <w:rFonts w:hint="eastAsia"/>
                <w:color w:val="auto"/>
                <w:kern w:val="0"/>
                <w:sz w:val="24"/>
                <w:highlight w:val="none"/>
              </w:rPr>
              <w:t>-</w:t>
            </w:r>
            <w:r>
              <w:rPr>
                <w:color w:val="auto"/>
                <w:kern w:val="0"/>
                <w:sz w:val="24"/>
                <w:highlight w:val="none"/>
              </w:rPr>
              <w:t>2002）中</w:t>
            </w:r>
            <w:r>
              <w:rPr>
                <w:rFonts w:hint="eastAsia"/>
                <w:color w:val="auto"/>
                <w:kern w:val="0"/>
                <w:sz w:val="24"/>
                <w:highlight w:val="none"/>
              </w:rPr>
              <w:t>一级A标</w:t>
            </w:r>
            <w:r>
              <w:rPr>
                <w:color w:val="auto"/>
                <w:kern w:val="0"/>
                <w:sz w:val="24"/>
                <w:highlight w:val="none"/>
              </w:rPr>
              <w:t>后排入</w:t>
            </w:r>
            <w:r>
              <w:rPr>
                <w:rFonts w:hint="eastAsia"/>
                <w:color w:val="auto"/>
                <w:kern w:val="0"/>
                <w:sz w:val="24"/>
                <w:highlight w:val="none"/>
                <w:lang w:val="en-US" w:eastAsia="zh-CN"/>
              </w:rPr>
              <w:t>州河</w:t>
            </w:r>
            <w:r>
              <w:rPr>
                <w:color w:val="auto"/>
                <w:kern w:val="0"/>
                <w:sz w:val="24"/>
                <w:highlight w:val="none"/>
              </w:rPr>
              <w:t>。</w:t>
            </w:r>
            <w:r>
              <w:rPr>
                <w:rFonts w:hint="eastAsia"/>
                <w:color w:val="auto"/>
                <w:kern w:val="0"/>
                <w:sz w:val="24"/>
                <w:highlight w:val="none"/>
                <w:lang w:val="en-US" w:eastAsia="zh-CN"/>
              </w:rPr>
              <w:t>按照排放标准法核算各污染物的总量如下：</w:t>
            </w:r>
          </w:p>
          <w:p>
            <w:pPr>
              <w:keepNext w:val="0"/>
              <w:keepLines w:val="0"/>
              <w:pageBreakBefore w:val="0"/>
              <w:kinsoku/>
              <w:wordWrap/>
              <w:overflowPunct/>
              <w:topLinePunct w:val="0"/>
              <w:bidi w:val="0"/>
              <w:adjustRightInd w:val="0"/>
              <w:snapToGrid w:val="0"/>
              <w:spacing w:line="360" w:lineRule="auto"/>
              <w:ind w:left="0" w:firstLine="480" w:firstLineChars="200"/>
              <w:rPr>
                <w:color w:val="auto"/>
                <w:kern w:val="0"/>
                <w:sz w:val="24"/>
                <w:highlight w:val="none"/>
              </w:rPr>
            </w:pPr>
            <w:r>
              <w:rPr>
                <w:color w:val="auto"/>
                <w:kern w:val="0"/>
                <w:sz w:val="24"/>
                <w:highlight w:val="none"/>
              </w:rPr>
              <w:t>COD：（</w:t>
            </w:r>
            <w:r>
              <w:rPr>
                <w:rFonts w:hint="eastAsia"/>
                <w:color w:val="auto"/>
                <w:kern w:val="0"/>
                <w:sz w:val="24"/>
                <w:highlight w:val="none"/>
                <w:lang w:val="en-US" w:eastAsia="zh-CN"/>
              </w:rPr>
              <w:t>26542.80</w:t>
            </w:r>
            <w:r>
              <w:rPr>
                <w:color w:val="auto"/>
                <w:kern w:val="0"/>
                <w:sz w:val="24"/>
                <w:highlight w:val="none"/>
              </w:rPr>
              <w:t>m</w:t>
            </w:r>
            <w:r>
              <w:rPr>
                <w:color w:val="auto"/>
                <w:kern w:val="0"/>
                <w:sz w:val="24"/>
                <w:highlight w:val="none"/>
                <w:vertAlign w:val="superscript"/>
              </w:rPr>
              <w:t>3</w:t>
            </w:r>
            <w:r>
              <w:rPr>
                <w:color w:val="auto"/>
                <w:kern w:val="0"/>
                <w:sz w:val="24"/>
                <w:highlight w:val="none"/>
              </w:rPr>
              <w:t>/a×250mg/L）×10</w:t>
            </w:r>
            <w:r>
              <w:rPr>
                <w:color w:val="auto"/>
                <w:kern w:val="0"/>
                <w:sz w:val="24"/>
                <w:highlight w:val="none"/>
                <w:vertAlign w:val="superscript"/>
              </w:rPr>
              <w:t>-6</w:t>
            </w:r>
            <w:r>
              <w:rPr>
                <w:color w:val="auto"/>
                <w:kern w:val="0"/>
                <w:sz w:val="24"/>
                <w:highlight w:val="none"/>
              </w:rPr>
              <w:t>=</w:t>
            </w:r>
            <w:r>
              <w:rPr>
                <w:rFonts w:hint="eastAsia"/>
                <w:color w:val="auto"/>
                <w:sz w:val="24"/>
                <w:highlight w:val="none"/>
                <w:lang w:val="en-US" w:eastAsia="zh-CN"/>
              </w:rPr>
              <w:t>6.636</w:t>
            </w:r>
            <w:r>
              <w:rPr>
                <w:color w:val="auto"/>
                <w:kern w:val="0"/>
                <w:sz w:val="24"/>
                <w:highlight w:val="none"/>
              </w:rPr>
              <w:t>t/a</w:t>
            </w:r>
          </w:p>
          <w:p>
            <w:pPr>
              <w:keepNext w:val="0"/>
              <w:keepLines w:val="0"/>
              <w:pageBreakBefore w:val="0"/>
              <w:kinsoku/>
              <w:wordWrap/>
              <w:overflowPunct/>
              <w:topLinePunct w:val="0"/>
              <w:bidi w:val="0"/>
              <w:adjustRightInd w:val="0"/>
              <w:snapToGrid w:val="0"/>
              <w:spacing w:line="360" w:lineRule="auto"/>
              <w:ind w:left="0" w:firstLine="480" w:firstLineChars="200"/>
              <w:rPr>
                <w:color w:val="auto"/>
                <w:kern w:val="0"/>
                <w:sz w:val="24"/>
                <w:highlight w:val="none"/>
              </w:rPr>
            </w:pPr>
            <w:r>
              <w:rPr>
                <w:color w:val="auto"/>
                <w:kern w:val="0"/>
                <w:sz w:val="24"/>
                <w:highlight w:val="none"/>
              </w:rPr>
              <w:t>NH</w:t>
            </w:r>
            <w:r>
              <w:rPr>
                <w:color w:val="auto"/>
                <w:kern w:val="0"/>
                <w:sz w:val="24"/>
                <w:highlight w:val="none"/>
                <w:vertAlign w:val="subscript"/>
              </w:rPr>
              <w:t>3</w:t>
            </w:r>
            <w:r>
              <w:rPr>
                <w:color w:val="auto"/>
                <w:kern w:val="0"/>
                <w:sz w:val="24"/>
                <w:highlight w:val="none"/>
              </w:rPr>
              <w:t>-N：（</w:t>
            </w:r>
            <w:r>
              <w:rPr>
                <w:rFonts w:hint="eastAsia"/>
                <w:color w:val="auto"/>
                <w:kern w:val="0"/>
                <w:sz w:val="24"/>
                <w:highlight w:val="none"/>
                <w:lang w:val="en-US" w:eastAsia="zh-CN"/>
              </w:rPr>
              <w:t>26542.80</w:t>
            </w:r>
            <w:r>
              <w:rPr>
                <w:color w:val="auto"/>
                <w:sz w:val="24"/>
                <w:highlight w:val="none"/>
              </w:rPr>
              <w:t>m</w:t>
            </w:r>
            <w:r>
              <w:rPr>
                <w:color w:val="auto"/>
                <w:kern w:val="0"/>
                <w:sz w:val="24"/>
                <w:highlight w:val="none"/>
                <w:vertAlign w:val="superscript"/>
              </w:rPr>
              <w:t>3</w:t>
            </w:r>
            <w:r>
              <w:rPr>
                <w:color w:val="auto"/>
                <w:kern w:val="0"/>
                <w:sz w:val="24"/>
                <w:highlight w:val="none"/>
              </w:rPr>
              <w:t>/a×45mg/L）×10</w:t>
            </w:r>
            <w:r>
              <w:rPr>
                <w:color w:val="auto"/>
                <w:kern w:val="0"/>
                <w:sz w:val="24"/>
                <w:highlight w:val="none"/>
                <w:vertAlign w:val="superscript"/>
              </w:rPr>
              <w:t>-6</w:t>
            </w:r>
            <w:r>
              <w:rPr>
                <w:color w:val="auto"/>
                <w:kern w:val="0"/>
                <w:sz w:val="24"/>
                <w:highlight w:val="none"/>
              </w:rPr>
              <w:t>=</w:t>
            </w:r>
            <w:r>
              <w:rPr>
                <w:rFonts w:hint="eastAsia"/>
                <w:color w:val="auto"/>
                <w:sz w:val="24"/>
                <w:highlight w:val="none"/>
                <w:lang w:val="en-US" w:eastAsia="zh-CN"/>
              </w:rPr>
              <w:t>1.194</w:t>
            </w:r>
            <w:r>
              <w:rPr>
                <w:color w:val="auto"/>
                <w:kern w:val="0"/>
                <w:sz w:val="24"/>
                <w:highlight w:val="none"/>
              </w:rPr>
              <w:t>t/a</w:t>
            </w:r>
          </w:p>
          <w:p>
            <w:pPr>
              <w:keepNext w:val="0"/>
              <w:keepLines w:val="0"/>
              <w:pageBreakBefore w:val="0"/>
              <w:kinsoku/>
              <w:wordWrap/>
              <w:overflowPunct/>
              <w:topLinePunct w:val="0"/>
              <w:bidi w:val="0"/>
              <w:adjustRightInd w:val="0"/>
              <w:snapToGrid w:val="0"/>
              <w:spacing w:line="360" w:lineRule="auto"/>
              <w:ind w:left="0" w:firstLine="480" w:firstLineChars="200"/>
              <w:rPr>
                <w:color w:val="auto"/>
                <w:kern w:val="0"/>
                <w:sz w:val="24"/>
                <w:highlight w:val="none"/>
              </w:rPr>
            </w:pPr>
            <w:r>
              <w:rPr>
                <w:color w:val="auto"/>
                <w:kern w:val="0"/>
                <w:sz w:val="24"/>
                <w:highlight w:val="none"/>
              </w:rPr>
              <w:t>TP：（</w:t>
            </w:r>
            <w:r>
              <w:rPr>
                <w:rFonts w:hint="eastAsia"/>
                <w:color w:val="auto"/>
                <w:kern w:val="0"/>
                <w:sz w:val="24"/>
                <w:highlight w:val="none"/>
                <w:lang w:val="en-US" w:eastAsia="zh-CN"/>
              </w:rPr>
              <w:t>26542.80</w:t>
            </w:r>
            <w:r>
              <w:rPr>
                <w:color w:val="auto"/>
                <w:kern w:val="0"/>
                <w:sz w:val="24"/>
                <w:highlight w:val="none"/>
              </w:rPr>
              <w:t>m</w:t>
            </w:r>
            <w:r>
              <w:rPr>
                <w:color w:val="auto"/>
                <w:kern w:val="0"/>
                <w:sz w:val="24"/>
                <w:highlight w:val="none"/>
                <w:vertAlign w:val="superscript"/>
              </w:rPr>
              <w:t>3</w:t>
            </w:r>
            <w:r>
              <w:rPr>
                <w:color w:val="auto"/>
                <w:kern w:val="0"/>
                <w:sz w:val="24"/>
                <w:highlight w:val="none"/>
              </w:rPr>
              <w:t>/a×8mg/L）×10</w:t>
            </w:r>
            <w:r>
              <w:rPr>
                <w:color w:val="auto"/>
                <w:kern w:val="0"/>
                <w:sz w:val="24"/>
                <w:highlight w:val="none"/>
                <w:vertAlign w:val="superscript"/>
              </w:rPr>
              <w:t>-6</w:t>
            </w:r>
            <w:r>
              <w:rPr>
                <w:color w:val="auto"/>
                <w:kern w:val="0"/>
                <w:sz w:val="24"/>
                <w:highlight w:val="none"/>
              </w:rPr>
              <w:t>=</w:t>
            </w:r>
            <w:r>
              <w:rPr>
                <w:rFonts w:hint="eastAsia"/>
                <w:color w:val="auto"/>
                <w:sz w:val="24"/>
                <w:highlight w:val="none"/>
                <w:lang w:val="en-US" w:eastAsia="zh-CN"/>
              </w:rPr>
              <w:t>0.212</w:t>
            </w:r>
            <w:r>
              <w:rPr>
                <w:color w:val="auto"/>
                <w:kern w:val="0"/>
                <w:sz w:val="24"/>
                <w:highlight w:val="none"/>
              </w:rPr>
              <w:t>t/a</w:t>
            </w:r>
          </w:p>
          <w:p>
            <w:pPr>
              <w:adjustRightInd w:val="0"/>
              <w:snapToGrid w:val="0"/>
              <w:spacing w:line="360" w:lineRule="auto"/>
              <w:ind w:firstLine="482" w:firstLineChars="200"/>
              <w:rPr>
                <w:rFonts w:hint="eastAsia" w:cs="Times New Roman"/>
                <w:color w:val="auto"/>
                <w:sz w:val="24"/>
                <w:szCs w:val="24"/>
                <w:highlight w:val="none"/>
                <w:lang w:eastAsia="zh-CN"/>
              </w:rPr>
            </w:pPr>
            <w:r>
              <w:rPr>
                <w:rFonts w:hint="eastAsia" w:ascii="Times New Roman" w:hAnsi="Times New Roman" w:eastAsia="宋体" w:cs="Times New Roman"/>
                <w:b/>
                <w:bCs/>
                <w:color w:val="auto"/>
                <w:sz w:val="24"/>
                <w:szCs w:val="24"/>
                <w:highlight w:val="none"/>
              </w:rPr>
              <w:t>废水污染物总量控制指标：</w:t>
            </w:r>
            <w:r>
              <w:rPr>
                <w:rFonts w:hint="eastAsia" w:ascii="Times New Roman" w:hAnsi="Times New Roman" w:eastAsia="宋体" w:cs="Times New Roman"/>
                <w:color w:val="auto"/>
                <w:sz w:val="24"/>
                <w:szCs w:val="24"/>
                <w:highlight w:val="none"/>
              </w:rPr>
              <w:t>本项目废水进入</w:t>
            </w:r>
            <w:r>
              <w:rPr>
                <w:rFonts w:hint="eastAsia" w:cs="Times New Roman"/>
                <w:color w:val="auto"/>
                <w:sz w:val="24"/>
                <w:szCs w:val="24"/>
                <w:highlight w:val="none"/>
                <w:lang w:eastAsia="zh-CN"/>
              </w:rPr>
              <w:t>宣汉县城市生活污水处理厂</w:t>
            </w:r>
            <w:r>
              <w:rPr>
                <w:rFonts w:hint="eastAsia" w:ascii="Times New Roman" w:hAnsi="Times New Roman" w:eastAsia="宋体" w:cs="Times New Roman"/>
                <w:color w:val="auto"/>
                <w:sz w:val="24"/>
                <w:szCs w:val="24"/>
                <w:highlight w:val="none"/>
              </w:rPr>
              <w:t>，项目废水将占用污水处理厂指标，因此本项目不单独申请废水总量控制指标</w:t>
            </w:r>
            <w:r>
              <w:rPr>
                <w:rFonts w:hint="eastAsia" w:cs="Times New Roman"/>
                <w:color w:val="auto"/>
                <w:sz w:val="24"/>
                <w:szCs w:val="24"/>
                <w:highlight w:val="none"/>
                <w:lang w:eastAsia="zh-CN"/>
              </w:rPr>
              <w:t>。</w:t>
            </w:r>
          </w:p>
          <w:p>
            <w:pPr>
              <w:adjustRightInd w:val="0"/>
              <w:snapToGrid w:val="0"/>
              <w:spacing w:line="360" w:lineRule="auto"/>
              <w:ind w:firstLine="482" w:firstLineChars="200"/>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2、大气污染物总量控制</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本项目不设置</w:t>
            </w:r>
            <w:r>
              <w:rPr>
                <w:rFonts w:hint="eastAsia" w:cs="Times New Roman"/>
                <w:color w:val="auto"/>
                <w:sz w:val="24"/>
                <w:szCs w:val="24"/>
                <w:highlight w:val="none"/>
                <w:lang w:eastAsia="zh-CN"/>
              </w:rPr>
              <w:t>大气污染总量控制指标。</w:t>
            </w:r>
          </w:p>
        </w:tc>
      </w:tr>
    </w:tbl>
    <w:p>
      <w:pPr>
        <w:spacing w:line="360" w:lineRule="auto"/>
        <w:rPr>
          <w:rFonts w:hint="eastAsia"/>
          <w:color w:val="auto"/>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8"/>
        <w:spacing w:line="360" w:lineRule="auto"/>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四、主要环境影响和保护措施</w:t>
      </w:r>
    </w:p>
    <w:tbl>
      <w:tblPr>
        <w:tblStyle w:val="21"/>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9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Align w:val="center"/>
          </w:tcPr>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施工</w:t>
            </w:r>
          </w:p>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期环</w:t>
            </w:r>
          </w:p>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境保</w:t>
            </w:r>
          </w:p>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jc w:val="center"/>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护措</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color w:val="auto"/>
                <w:sz w:val="24"/>
                <w:szCs w:val="24"/>
                <w:highlight w:val="none"/>
                <w:vertAlign w:val="baseline"/>
                <w:lang w:eastAsia="zh-CN"/>
              </w:rPr>
            </w:pPr>
            <w:r>
              <w:rPr>
                <w:rFonts w:hint="default" w:ascii="Times New Roman" w:hAnsi="Times New Roman" w:cs="Times New Roman"/>
                <w:color w:val="auto"/>
                <w:kern w:val="2"/>
                <w:sz w:val="24"/>
                <w:szCs w:val="24"/>
                <w:highlight w:val="none"/>
              </w:rPr>
              <w:t>施</w:t>
            </w:r>
          </w:p>
        </w:tc>
        <w:tc>
          <w:tcPr>
            <w:tcW w:w="4767"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一、废气</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（1）施工扬尘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在施工阶段，产生扬尘的作业主要有</w:t>
            </w:r>
            <w:r>
              <w:rPr>
                <w:rFonts w:hint="default" w:ascii="Times New Roman" w:hAnsi="Times New Roman" w:cs="Times New Roman"/>
                <w:b w:val="0"/>
                <w:bCs w:val="0"/>
                <w:color w:val="auto"/>
                <w:sz w:val="24"/>
                <w:szCs w:val="24"/>
                <w:highlight w:val="none"/>
                <w:lang w:val="en-US" w:eastAsia="zh-CN"/>
              </w:rPr>
              <w:t>原有墙体拆除、水电路改造</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rPr>
              <w:t>建材运输、装卸</w:t>
            </w:r>
            <w:r>
              <w:rPr>
                <w:rFonts w:hint="default" w:ascii="Times New Roman" w:hAnsi="Times New Roman" w:cs="Times New Roman"/>
                <w:b w:val="0"/>
                <w:bCs w:val="0"/>
                <w:color w:val="auto"/>
                <w:sz w:val="24"/>
                <w:szCs w:val="24"/>
                <w:highlight w:val="none"/>
                <w:lang w:val="en-US" w:eastAsia="zh-CN"/>
              </w:rPr>
              <w:t>、墙地面铺贴</w:t>
            </w:r>
            <w:r>
              <w:rPr>
                <w:rFonts w:hint="default" w:ascii="Times New Roman" w:hAnsi="Times New Roman" w:eastAsia="宋体" w:cs="Times New Roman"/>
                <w:color w:val="auto"/>
                <w:sz w:val="24"/>
                <w:szCs w:val="24"/>
                <w:highlight w:val="none"/>
              </w:rPr>
              <w:t>等过程，经类比分析，施工场地扬尘浓度一般约为3.5mg/m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，会对周围环境产生一定影响。为减轻施工期扬尘对大气环境的影响施工单位必须严格按照《四川省建筑工程扬尘污染防治技术导则（试行）》（川建发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2019</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16号）等有关要求进行施工，采取以下扬尘防治措施：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①施工现场架设2.5~3m高围挡，封闭施工现场，施工现场主要道路及施工区域与社会通行道路交叉通道必须硬化；推行绿色施工和装配式建筑施工方式，在专业化工厂预制构件，在工地进行装配，减少现场浇筑。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②施工车辆实施限速管理，施工现场主要运输道路定期洒水抑尘；施工场地安装扬尘在线视频监测设备，设置喷淋、冲洗等防尘降尘设施，对驶离车辆实施冲洗，配套设置地面排水沟、沉淀池。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③运输车辆严禁超载行驶，必须采取密闭运输，装卸作业时必须采取有效防护措施，不得遗撒、泄漏、违规倾倒；运输时应选择对周围环境影响较小的运输路线，定时对运输路线进行清扫。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④禁止在风天进行渣土堆放作业，建材堆放地点要相对集中，建筑垃圾应及时清运，并对堆场以防尘布覆盖，禁止露天堆放。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⑤风速大于4m/s时应停止施工；尽量避免冬季、春季进行大规模土方作业，做到“慎开工，早完工”；遇重污染天气，建设单位和施工单位应按照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达州市重污染天气应急预案（2017年修订）</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通知落实重污染天气状况下的应急措施要求。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同时，施工单位必需全面督查建筑工地现场管理“六必须”、“六不准”的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同时，施工单位必须严格按照《四川省建筑工程扬尘污染防治技术导则（试行）》（川建发</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16号）中</w:t>
            </w:r>
            <w:r>
              <w:rPr>
                <w:rFonts w:hint="eastAsia" w:cs="Times New Roman"/>
                <w:color w:val="auto"/>
                <w:sz w:val="24"/>
                <w:szCs w:val="24"/>
                <w:highlight w:val="none"/>
                <w:lang w:eastAsia="zh-CN"/>
              </w:rPr>
              <w:t>要求</w:t>
            </w:r>
            <w:r>
              <w:rPr>
                <w:rFonts w:hint="default" w:ascii="Times New Roman" w:hAnsi="Times New Roman" w:eastAsia="宋体" w:cs="Times New Roman"/>
                <w:color w:val="auto"/>
                <w:sz w:val="24"/>
                <w:szCs w:val="24"/>
                <w:highlight w:val="none"/>
              </w:rPr>
              <w:t>，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项目施工还应遵守《中华人民共和国大气污染防治法》（2018年10月26日起施行）中的以下规定：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第六十九条：“建设单位应当将防治扬尘污染的费用列入工程造价，并在施工承包合同中明确施工单位扬尘污染防治责任。施工单位应当制定具体的施工扬尘污染防治实施方案。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从事房屋建筑、市政基础设施建设、河道整治以及建筑物拆除等施工单位，应当向负责监督管理扬尘污染防治的主管部门备案。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施工单位应当在施工工地公示扬尘污染防治措施、负责人、扬尘监督管理主管部门等信息。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暂时不能开工的建设用地，建设单位应当对裸露地面进行覆盖；超过三个月的，应当进行绿化、铺装或者遮盖。”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评价认为在项目施工期，对扬尘严格采取了上述防治措施后，其浓度可得到有效控制，可满足《四川省施工场地扬尘排放标准》（DB51/2682-2020）表1标准限值要求，实现达标排放。</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（2）施工机械废气</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施工设备和建筑机械设备的运转，会排放一定量的CO、NOx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（3）装修废气</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装修过程中主要污染因子是涂料挥发废气，该废气的排放属无组织排放，由于装修阶段的装修废气排放周期短，且装修面积较少、作业点分散，故装修期间应加强通风换气。环评要求采用优质环保的装修材料，使用无污染性废气产生的材料、涂料，减少废气中有害物质的排放。</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项目施工期采取了上述防治措施后，其施工期产生的废气可得到有效控制，能够实现达标排放。</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二、废水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根据业主提供资料，项目施工期不设食堂、住宿，工人就餐采用自行外出就餐的方法解决。</w:t>
            </w:r>
            <w:r>
              <w:rPr>
                <w:rFonts w:hint="default" w:ascii="Times New Roman" w:hAnsi="Times New Roman" w:eastAsia="宋体" w:cs="Times New Roman"/>
                <w:color w:val="auto"/>
                <w:sz w:val="24"/>
                <w:szCs w:val="24"/>
                <w:highlight w:val="none"/>
              </w:rPr>
              <w:t>施工高峰期施工人员预计约</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人，施工人员生活用水量按0.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/d，生活污水产生系数取0.85，则生活污水产生量为</w:t>
            </w:r>
            <w:r>
              <w:rPr>
                <w:rFonts w:hint="eastAsia" w:cs="Times New Roman"/>
                <w:color w:val="auto"/>
                <w:sz w:val="24"/>
                <w:szCs w:val="24"/>
                <w:highlight w:val="none"/>
                <w:lang w:val="en-US" w:eastAsia="zh-CN"/>
              </w:rPr>
              <w:t>1.70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施工人员如厕使用大楼原有的卫生间，</w:t>
            </w:r>
            <w:r>
              <w:rPr>
                <w:rFonts w:hint="default" w:ascii="Times New Roman" w:hAnsi="Times New Roman" w:eastAsia="宋体" w:cs="Times New Roman"/>
                <w:color w:val="auto"/>
                <w:sz w:val="24"/>
                <w:szCs w:val="24"/>
                <w:highlight w:val="none"/>
              </w:rPr>
              <w:t>生活污水</w:t>
            </w:r>
            <w:r>
              <w:rPr>
                <w:rFonts w:hint="eastAsia" w:ascii="Times New Roman" w:hAnsi="Times New Roman" w:cs="Times New Roman"/>
                <w:color w:val="auto"/>
                <w:sz w:val="24"/>
                <w:szCs w:val="24"/>
                <w:highlight w:val="none"/>
                <w:lang w:val="en-US" w:eastAsia="zh-CN"/>
              </w:rPr>
              <w:t>经</w:t>
            </w:r>
            <w:r>
              <w:rPr>
                <w:rFonts w:hint="eastAsia" w:cs="Times New Roman"/>
                <w:color w:val="auto"/>
                <w:sz w:val="24"/>
                <w:szCs w:val="24"/>
                <w:highlight w:val="none"/>
                <w:lang w:val="en-US" w:eastAsia="zh-CN"/>
              </w:rPr>
              <w:t>化粪池处理后达到《污水综合排放标准》（GB8978-1996）三级标准后，排入市政污水管网，经</w:t>
            </w:r>
            <w:r>
              <w:rPr>
                <w:rFonts w:hint="eastAsia"/>
                <w:color w:val="auto"/>
                <w:kern w:val="0"/>
                <w:sz w:val="24"/>
                <w:highlight w:val="none"/>
                <w:lang w:val="en-US" w:eastAsia="zh-CN"/>
              </w:rPr>
              <w:t>宣汉县城市生活污水处理厂</w:t>
            </w:r>
            <w:r>
              <w:rPr>
                <w:rFonts w:hint="eastAsia" w:cs="Times New Roman"/>
                <w:color w:val="auto"/>
                <w:sz w:val="24"/>
                <w:szCs w:val="24"/>
                <w:highlight w:val="none"/>
                <w:lang w:val="en-US" w:eastAsia="zh-CN"/>
              </w:rPr>
              <w:t>处理达到《城镇污水处理厂污染物排放标准》（GB18918-2002）一级A标准后排入州河</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（2）施工废水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施工废水中的主要污染物为pH（一般大于7）、SS、COD、BOD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，污水中COD浓度值最高约500m/L、BOD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约400mg/L、SS 约1000mg/L。经类比分析，项目施工期施工废水预计排放量为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/d，为防止施工废水对区域地表水环境造成影响，本环评要求建设单位应采取以下污染防治措施：施工场地应建设沉淀池，施工废水经沉淀后全部用于建筑工地洒水和车辆冲洗。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kern w:val="0"/>
                <w:sz w:val="24"/>
                <w:highlight w:val="none"/>
                <w:lang w:val="en-US" w:eastAsia="zh-CN"/>
              </w:rPr>
              <w:t>综上，</w:t>
            </w:r>
            <w:r>
              <w:rPr>
                <w:rFonts w:ascii="Times New Roman" w:hAnsi="Times New Roman" w:cs="Times New Roman"/>
                <w:b/>
                <w:bCs w:val="0"/>
                <w:color w:val="auto"/>
                <w:kern w:val="0"/>
                <w:sz w:val="24"/>
                <w:highlight w:val="none"/>
              </w:rPr>
              <w:t>施工废水经沉淀后</w:t>
            </w:r>
            <w:r>
              <w:rPr>
                <w:rFonts w:ascii="Times New Roman" w:hAnsi="Times New Roman" w:cs="Times New Roman"/>
                <w:b/>
                <w:bCs w:val="0"/>
                <w:color w:val="auto"/>
                <w:sz w:val="24"/>
                <w:highlight w:val="none"/>
              </w:rPr>
              <w:t>回用</w:t>
            </w:r>
            <w:r>
              <w:rPr>
                <w:rFonts w:hint="eastAsia" w:ascii="Times New Roman" w:hAnsi="Times New Roman" w:cs="Times New Roman"/>
                <w:b/>
                <w:bCs w:val="0"/>
                <w:color w:val="auto"/>
                <w:sz w:val="24"/>
                <w:highlight w:val="none"/>
                <w:lang w:eastAsia="zh-CN"/>
              </w:rPr>
              <w:t>，</w:t>
            </w:r>
            <w:r>
              <w:rPr>
                <w:rFonts w:hint="eastAsia" w:ascii="Times New Roman" w:hAnsi="Times New Roman" w:cs="Times New Roman"/>
                <w:b/>
                <w:bCs w:val="0"/>
                <w:color w:val="auto"/>
                <w:sz w:val="24"/>
                <w:highlight w:val="none"/>
                <w:lang w:val="en-US" w:eastAsia="zh-CN"/>
              </w:rPr>
              <w:t>不外排</w:t>
            </w:r>
            <w:r>
              <w:rPr>
                <w:rFonts w:ascii="Times New Roman" w:hAnsi="Times New Roman" w:cs="Times New Roman"/>
                <w:b/>
                <w:bCs w:val="0"/>
                <w:color w:val="auto"/>
                <w:kern w:val="0"/>
                <w:sz w:val="24"/>
                <w:highlight w:val="none"/>
              </w:rPr>
              <w:t>；</w:t>
            </w:r>
            <w:r>
              <w:rPr>
                <w:rFonts w:hint="default" w:ascii="Times New Roman" w:hAnsi="Times New Roman" w:eastAsia="宋体" w:cs="Times New Roman"/>
                <w:b/>
                <w:bCs w:val="0"/>
                <w:color w:val="auto"/>
                <w:sz w:val="24"/>
                <w:szCs w:val="24"/>
                <w:highlight w:val="none"/>
              </w:rPr>
              <w:t>生活污水</w:t>
            </w:r>
            <w:r>
              <w:rPr>
                <w:rFonts w:hint="eastAsia" w:ascii="Times New Roman" w:hAnsi="Times New Roman" w:cs="Times New Roman"/>
                <w:b/>
                <w:bCs w:val="0"/>
                <w:color w:val="auto"/>
                <w:sz w:val="24"/>
                <w:szCs w:val="24"/>
                <w:highlight w:val="none"/>
                <w:lang w:val="en-US" w:eastAsia="zh-CN"/>
              </w:rPr>
              <w:t>经</w:t>
            </w:r>
            <w:r>
              <w:rPr>
                <w:rFonts w:hint="eastAsia" w:cs="Times New Roman"/>
                <w:b/>
                <w:bCs w:val="0"/>
                <w:color w:val="auto"/>
                <w:sz w:val="24"/>
                <w:szCs w:val="24"/>
                <w:highlight w:val="none"/>
                <w:lang w:val="en-US" w:eastAsia="zh-CN"/>
              </w:rPr>
              <w:t>化粪池处理后达到《污水综合排放标准》（GB8978-1996）三级标准后，排入市政污水管网，经宣汉县城市生活污水处理厂处理达到《城镇污水处理厂污染物排放标准》（GB18918-2002）一级A标准后排入州河</w:t>
            </w:r>
            <w:r>
              <w:rPr>
                <w:rFonts w:hint="default" w:ascii="Times New Roman" w:hAnsi="Times New Roman" w:eastAsia="宋体" w:cs="Times New Roman"/>
                <w:b/>
                <w:bCs w:val="0"/>
                <w:color w:val="auto"/>
                <w:sz w:val="24"/>
                <w:szCs w:val="24"/>
                <w:highlight w:val="none"/>
              </w:rPr>
              <w:t>。</w:t>
            </w:r>
            <w:r>
              <w:rPr>
                <w:rFonts w:hint="default" w:ascii="Times New Roman" w:hAnsi="Times New Roman" w:cs="Times New Roman"/>
                <w:b/>
                <w:bCs w:val="0"/>
                <w:color w:val="auto"/>
                <w:sz w:val="24"/>
                <w:szCs w:val="24"/>
                <w:highlight w:val="none"/>
                <w:lang w:val="en-US" w:eastAsia="zh-CN"/>
              </w:rPr>
              <w:t>在此基础上项目在施工期所产生的生产、生活污水对当地地表水和地下水影响甚微。</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三、噪声</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①选用符合国家标准的低噪声设备，定期加强对设备的维修保养，避免由于设备非正常工作而产生噪声污染。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②合理安排施工时间，禁止夜间（22:00~6:00）施工，如夜间需进行施工工艺要求必须连续作业的强噪声施工，须事先征得周围居民同意，向当地管理部门申报。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③加强管理，文明施工。装卸、搬运木材、模具、钢材等严禁抛掷，材料运输车辆进场要专人指挥，厂内运输车辆实施限速、禁止鸣笛。施工监理单位应做好噪声控制措施，确保施工场界噪声达标排放。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④施工运输车辆应按照有关部门同意的运输路线行进，运输时间应避开居民进出高峰期，同时严格限速、限载管理，禁止鸣笛。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⑤合理布置施工总平面。施工期高噪声尽量设备布置在场地中央，有效利用距离的衰减，确保场界达标排放。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⑥施工前应进行公示，施工单位应在现场张贴通告和投诉电话，建设单位在接到投诉电话后及时与当地环保部门联系，及时处理各种环境纠纷。</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highlight w:val="none"/>
                <w:lang w:eastAsia="zh-CN"/>
              </w:rPr>
              <w:t>要求施工单位严格采取相关噪声防治措施，按照施工规范文明施工，加强管理，确保施工期间场界噪声满足《建筑施工场界环境噪声排放标准》（GB12523-2011）中的相关要求，严禁出现施工噪声扰民现象。</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四、固体废弃物</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项目施工装修期间会产生一定量的建筑垃圾和装修垃圾、生活垃圾等。</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（1）建筑垃圾和装修垃圾</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施工期建筑废物主要包括建筑垃圾和装修垃圾</w:t>
            </w:r>
            <w:r>
              <w:rPr>
                <w:rFonts w:hint="eastAsia" w:cs="Times New Roman"/>
                <w:b w:val="0"/>
                <w:bCs w:val="0"/>
                <w:color w:val="auto"/>
                <w:sz w:val="24"/>
                <w:szCs w:val="24"/>
                <w:highlight w:val="none"/>
                <w:lang w:val="en-US" w:eastAsia="zh-CN"/>
              </w:rPr>
              <w:t>根据类比分析，本项目施工期间建筑垃圾产生量约为5.0t。</w:t>
            </w:r>
            <w:r>
              <w:rPr>
                <w:rFonts w:hint="default" w:ascii="Times New Roman" w:hAnsi="Times New Roman" w:eastAsia="宋体" w:cs="Times New Roman"/>
                <w:color w:val="auto"/>
                <w:sz w:val="24"/>
                <w:szCs w:val="24"/>
                <w:highlight w:val="none"/>
              </w:rPr>
              <w:t>环评要求：施工现场应设置建筑垃圾临时堆场并树立标示牌，采取进行防雨、防泄漏处理。对于施工期间产生的可回收利用的废料（如钢筋、钢板、木材等下角料）通过分类收集后交废物收购站处理；对不能回收的建筑废物不能随意倾倒，而应用编织袋包装后清运到建筑垃圾处置场；装修中用到的废弃涂料容器等属于危险废物，应单独设置收集并做好防护措施，待施工完成后统一交由具有资质的单位进行处置。</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（2）生活垃圾</w:t>
            </w:r>
          </w:p>
          <w:p>
            <w:pPr>
              <w:keepNext w:val="0"/>
              <w:keepLines w:val="0"/>
              <w:pageBreakBefore w:val="0"/>
              <w:kinsoku/>
              <w:wordWrap/>
              <w:overflowPunct/>
              <w:topLinePunct w:val="0"/>
              <w:autoSpaceDE/>
              <w:autoSpaceDN/>
              <w:bidi w:val="0"/>
              <w:adjustRightInd/>
              <w:snapToGrid/>
              <w:spacing w:line="360" w:lineRule="auto"/>
              <w:ind w:left="0" w:leftChars="0" w:firstLine="480"/>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项目施工人员约</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0人，生活垃圾产生量按0.64kg/人·d计，预计产生量为</w:t>
            </w:r>
            <w:r>
              <w:rPr>
                <w:rFonts w:hint="eastAsia" w:cs="Times New Roman"/>
                <w:color w:val="auto"/>
                <w:sz w:val="24"/>
                <w:szCs w:val="24"/>
                <w:highlight w:val="none"/>
                <w:lang w:val="en-US" w:eastAsia="zh-CN"/>
              </w:rPr>
              <w:t>12.8</w:t>
            </w:r>
            <w:r>
              <w:rPr>
                <w:rFonts w:hint="default" w:ascii="Times New Roman" w:hAnsi="Times New Roman" w:eastAsia="宋体" w:cs="Times New Roman"/>
                <w:color w:val="auto"/>
                <w:sz w:val="24"/>
                <w:szCs w:val="24"/>
                <w:highlight w:val="none"/>
              </w:rPr>
              <w:t>kg/d，生活垃圾经袋装收集后，由环卫部门统一运送到垃圾处理场集中处理</w:t>
            </w:r>
            <w:r>
              <w:rPr>
                <w:rFonts w:hint="default" w:ascii="Times New Roman" w:hAnsi="Times New Roman" w:cs="Times New Roman"/>
                <w:color w:val="auto"/>
                <w:sz w:val="24"/>
                <w:szCs w:val="24"/>
                <w:highlight w:val="none"/>
                <w:lang w:eastAsia="zh-CN"/>
              </w:rPr>
              <w:t>。</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rPr>
              <w:t>综上所述，本项目施工期在严格落实本环评提出的上述防治要求后，施工期产生的固体废物可实现资源化利用或无害化处置，不会造成二次污染。</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cs="Times New Roman"/>
                <w:color w:val="auto"/>
                <w:sz w:val="24"/>
                <w:szCs w:val="24"/>
                <w:highlight w:val="none"/>
                <w:lang w:eastAsia="zh-CN"/>
              </w:rPr>
            </w:pPr>
            <w:r>
              <w:rPr>
                <w:rFonts w:hint="eastAsia" w:cs="Times New Roman"/>
                <w:b/>
                <w:bCs/>
                <w:color w:val="auto"/>
                <w:sz w:val="24"/>
                <w:szCs w:val="24"/>
                <w:highlight w:val="none"/>
                <w:lang w:val="en-US" w:eastAsia="zh-CN"/>
              </w:rPr>
              <w:t>本项目在施工过程中，由于施工点规模不大，且大量物料外购，对周围环境的影响较小。待施工完全结束后，施工期大气、水、噪声污染将消失，建筑垃圾和装修垃圾、生活垃圾等可得到合理的处理处置，不会造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Align w:val="center"/>
          </w:tcPr>
          <w:p>
            <w:pPr>
              <w:keepNext w:val="0"/>
              <w:keepLines w:val="0"/>
              <w:pageBreakBefore w:val="0"/>
              <w:wordWrap/>
              <w:topLinePunct w:val="0"/>
              <w:bidi w:val="0"/>
              <w:adjustRightInd w:val="0"/>
              <w:snapToGrid w:val="0"/>
              <w:spacing w:line="360" w:lineRule="auto"/>
              <w:ind w:left="0" w:leftChars="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pPr>
              <w:keepNext w:val="0"/>
              <w:keepLines w:val="0"/>
              <w:pageBreakBefore w:val="0"/>
              <w:wordWrap/>
              <w:topLinePunct w:val="0"/>
              <w:bidi w:val="0"/>
              <w:adjustRightInd w:val="0"/>
              <w:snapToGrid w:val="0"/>
              <w:spacing w:line="360" w:lineRule="auto"/>
              <w:ind w:left="0" w:leftChars="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pPr>
              <w:keepNext w:val="0"/>
              <w:keepLines w:val="0"/>
              <w:pageBreakBefore w:val="0"/>
              <w:wordWrap/>
              <w:topLinePunct w:val="0"/>
              <w:bidi w:val="0"/>
              <w:adjustRightInd w:val="0"/>
              <w:snapToGrid w:val="0"/>
              <w:spacing w:line="360" w:lineRule="auto"/>
              <w:ind w:left="0" w:leftChars="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pPr>
              <w:keepNext w:val="0"/>
              <w:keepLines w:val="0"/>
              <w:pageBreakBefore w:val="0"/>
              <w:wordWrap/>
              <w:topLinePunct w:val="0"/>
              <w:bidi w:val="0"/>
              <w:adjustRightInd w:val="0"/>
              <w:snapToGrid w:val="0"/>
              <w:spacing w:line="360" w:lineRule="auto"/>
              <w:ind w:left="0" w:leftChars="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pPr>
              <w:keepNext w:val="0"/>
              <w:keepLines w:val="0"/>
              <w:pageBreakBefore w:val="0"/>
              <w:wordWrap/>
              <w:topLinePunct w:val="0"/>
              <w:bidi w:val="0"/>
              <w:adjustRightInd w:val="0"/>
              <w:snapToGrid w:val="0"/>
              <w:spacing w:line="360" w:lineRule="auto"/>
              <w:ind w:left="0" w:leftChars="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bCs/>
                <w:color w:val="auto"/>
                <w:sz w:val="24"/>
                <w:highlight w:val="none"/>
              </w:rPr>
              <w:t>措施</w:t>
            </w:r>
          </w:p>
        </w:tc>
        <w:tc>
          <w:tcPr>
            <w:tcW w:w="4767" w:type="pct"/>
            <w:vAlign w:val="center"/>
          </w:tcPr>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废气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本项目营运期废气主要为</w:t>
            </w:r>
            <w:r>
              <w:rPr>
                <w:rFonts w:hint="eastAsia" w:cs="Times New Roman"/>
                <w:color w:val="auto"/>
                <w:sz w:val="24"/>
                <w:szCs w:val="24"/>
                <w:highlight w:val="none"/>
                <w:lang w:eastAsia="zh-CN"/>
              </w:rPr>
              <w:t>病区含菌空气、</w:t>
            </w:r>
            <w:r>
              <w:rPr>
                <w:rFonts w:hint="eastAsia" w:cs="Times New Roman"/>
                <w:color w:val="auto"/>
                <w:sz w:val="24"/>
                <w:szCs w:val="24"/>
                <w:highlight w:val="none"/>
                <w:lang w:val="en-US" w:eastAsia="zh-CN"/>
              </w:rPr>
              <w:t>含病原微生物气溶胶废气、</w:t>
            </w:r>
            <w:r>
              <w:rPr>
                <w:rFonts w:hint="eastAsia" w:cs="Times New Roman"/>
                <w:color w:val="auto"/>
                <w:sz w:val="24"/>
                <w:szCs w:val="24"/>
                <w:highlight w:val="none"/>
                <w:lang w:eastAsia="zh-CN"/>
              </w:rPr>
              <w:t>垃圾恶臭、发电机废气、食堂油烟、一体化污水处理设施恶臭、汽车尾气</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产排污环节、污染物种类、产生量核算</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）病区含菌空气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医院不同于其它公共场所，由于来往病人较多，病人入院时会带入不同的细菌和病毒，若通风措施不好，医院的空气常被污染，对病人及医护人员存在较大的染病风险。</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含病原微生物气溶胶废气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本项目设置微生物实验室，试验室微生物检验过程中可能会产生含有害微生物的气溶胶，本项目微生物实验室不属于P2</w:t>
            </w:r>
            <w:r>
              <w:rPr>
                <w:rFonts w:hint="eastAsia" w:cs="Times New Roman"/>
                <w:b w:val="0"/>
                <w:bCs w:val="0"/>
                <w:color w:val="auto"/>
                <w:sz w:val="24"/>
                <w:szCs w:val="24"/>
                <w:highlight w:val="none"/>
                <w:u w:val="none"/>
                <w:lang w:val="en-US" w:eastAsia="zh-CN"/>
              </w:rPr>
              <w:t>及以上等级试验室。气溶胶随空气扩散而污染实验室的空气，当工作人员吸入了污染的空气，便可能引起相关感染。</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eastAsia="zh-CN"/>
              </w:rPr>
              <w:t>垃圾恶臭</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恶臭是指一切刺激嗅觉器官引起人们不愉快及损害生活环境的气体物质。在生活垃圾</w:t>
            </w:r>
            <w:r>
              <w:rPr>
                <w:color w:val="auto"/>
                <w:sz w:val="24"/>
                <w:highlight w:val="none"/>
              </w:rPr>
              <w:t>、餐厨垃圾</w:t>
            </w:r>
            <w:r>
              <w:rPr>
                <w:rFonts w:hint="default" w:ascii="Times New Roman" w:hAnsi="Times New Roman" w:cs="Times New Roman"/>
                <w:color w:val="auto"/>
                <w:sz w:val="24"/>
                <w:szCs w:val="24"/>
                <w:highlight w:val="none"/>
                <w:lang w:eastAsia="zh-CN"/>
              </w:rPr>
              <w:t>和医疗废物暂存过程中，部分易腐败的垃圾由于其分解会发出异味，对环境的影响主要表现为恶臭。由于恶臭是一个感官性指标，难以定量，故本次环评进行定性分析。</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）柴油发电机废气</w:t>
            </w:r>
          </w:p>
          <w:p>
            <w:pPr>
              <w:pStyle w:val="10"/>
              <w:keepNext w:val="0"/>
              <w:keepLines w:val="0"/>
              <w:pageBreakBefore w:val="0"/>
              <w:wordWrap/>
              <w:topLinePunct w:val="0"/>
              <w:bidi w:val="0"/>
              <w:spacing w:after="0"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b w:val="0"/>
                <w:bCs w:val="0"/>
                <w:color w:val="auto"/>
                <w:sz w:val="24"/>
                <w:szCs w:val="24"/>
                <w:highlight w:val="none"/>
                <w:lang w:val="en-US" w:eastAsia="zh-CN"/>
              </w:rPr>
              <w:t>本项目配备有1台</w:t>
            </w:r>
            <w:r>
              <w:rPr>
                <w:rFonts w:hint="eastAsia" w:cs="Times New Roman"/>
                <w:b w:val="0"/>
                <w:bCs w:val="0"/>
                <w:color w:val="auto"/>
                <w:sz w:val="24"/>
                <w:szCs w:val="24"/>
                <w:highlight w:val="none"/>
                <w:lang w:val="en-US" w:eastAsia="zh-CN"/>
              </w:rPr>
              <w:t>150Kw的</w:t>
            </w:r>
            <w:r>
              <w:rPr>
                <w:rFonts w:hint="default" w:ascii="Times New Roman" w:hAnsi="Times New Roman" w:cs="Times New Roman"/>
                <w:b w:val="0"/>
                <w:bCs w:val="0"/>
                <w:color w:val="auto"/>
                <w:sz w:val="24"/>
                <w:szCs w:val="24"/>
                <w:highlight w:val="none"/>
                <w:lang w:val="en-US" w:eastAsia="zh-CN"/>
              </w:rPr>
              <w:t>备用</w:t>
            </w:r>
            <w:r>
              <w:rPr>
                <w:rFonts w:hint="eastAsia" w:cs="Times New Roman"/>
                <w:b w:val="0"/>
                <w:bCs w:val="0"/>
                <w:color w:val="auto"/>
                <w:sz w:val="24"/>
                <w:szCs w:val="24"/>
                <w:highlight w:val="none"/>
                <w:lang w:val="en-US" w:eastAsia="zh-CN"/>
              </w:rPr>
              <w:t>柴油</w:t>
            </w:r>
            <w:r>
              <w:rPr>
                <w:rFonts w:hint="default" w:ascii="Times New Roman" w:hAnsi="Times New Roman" w:cs="Times New Roman"/>
                <w:b w:val="0"/>
                <w:bCs w:val="0"/>
                <w:color w:val="auto"/>
                <w:sz w:val="24"/>
                <w:szCs w:val="24"/>
                <w:highlight w:val="none"/>
                <w:lang w:val="en-US" w:eastAsia="zh-CN"/>
              </w:rPr>
              <w:t>发电机</w:t>
            </w:r>
            <w:r>
              <w:rPr>
                <w:rFonts w:hint="eastAsia" w:cs="Times New Roman"/>
                <w:b w:val="0"/>
                <w:bCs w:val="0"/>
                <w:color w:val="auto"/>
                <w:sz w:val="24"/>
                <w:szCs w:val="24"/>
                <w:highlight w:val="none"/>
                <w:lang w:val="en-US" w:eastAsia="zh-CN"/>
              </w:rPr>
              <w:t>作为应急用电使用。项目使用0#柴油（含硫率≤0.2%），且项目选址于宣汉县中心城区，供电较为正常，故</w:t>
            </w:r>
            <w:r>
              <w:rPr>
                <w:rFonts w:hint="default" w:ascii="Times New Roman" w:hAnsi="Times New Roman" w:cs="Times New Roman"/>
                <w:b w:val="0"/>
                <w:bCs w:val="0"/>
                <w:color w:val="auto"/>
                <w:sz w:val="24"/>
                <w:szCs w:val="24"/>
                <w:highlight w:val="none"/>
                <w:lang w:val="en-US" w:eastAsia="zh-CN"/>
              </w:rPr>
              <w:t>备用发电机</w:t>
            </w:r>
            <w:r>
              <w:rPr>
                <w:rFonts w:hint="eastAsia" w:cs="Times New Roman"/>
                <w:b w:val="0"/>
                <w:bCs w:val="0"/>
                <w:color w:val="auto"/>
                <w:sz w:val="24"/>
                <w:szCs w:val="24"/>
                <w:highlight w:val="none"/>
                <w:lang w:val="en-US" w:eastAsia="zh-CN"/>
              </w:rPr>
              <w:t>作为</w:t>
            </w:r>
            <w:r>
              <w:rPr>
                <w:rFonts w:hint="default" w:ascii="Times New Roman" w:hAnsi="Times New Roman" w:cs="Times New Roman"/>
                <w:b w:val="0"/>
                <w:bCs w:val="0"/>
                <w:color w:val="auto"/>
                <w:sz w:val="24"/>
                <w:szCs w:val="24"/>
                <w:highlight w:val="none"/>
                <w:lang w:val="en-US" w:eastAsia="zh-CN"/>
              </w:rPr>
              <w:t>断电时临时使用</w:t>
            </w:r>
            <w:r>
              <w:rPr>
                <w:rFonts w:hint="eastAsia" w:cs="Times New Roman"/>
                <w:b w:val="0"/>
                <w:bCs w:val="0"/>
                <w:color w:val="auto"/>
                <w:sz w:val="24"/>
                <w:szCs w:val="24"/>
                <w:highlight w:val="none"/>
                <w:lang w:val="en-US" w:eastAsia="zh-CN"/>
              </w:rPr>
              <w:t>的频率较少。</w:t>
            </w:r>
            <w:r>
              <w:rPr>
                <w:rFonts w:hint="default" w:ascii="Times New Roman" w:hAnsi="Times New Roman" w:cs="Times New Roman"/>
                <w:color w:val="auto"/>
                <w:sz w:val="24"/>
                <w:highlight w:val="none"/>
              </w:rPr>
              <w:t>柴油</w:t>
            </w:r>
            <w:r>
              <w:rPr>
                <w:rFonts w:hint="default" w:ascii="Times New Roman" w:hAnsi="Times New Roman" w:cs="Times New Roman"/>
                <w:b w:val="0"/>
                <w:bCs w:val="0"/>
                <w:color w:val="auto"/>
                <w:sz w:val="24"/>
                <w:szCs w:val="24"/>
                <w:highlight w:val="none"/>
                <w:lang w:val="en-US" w:eastAsia="zh-CN"/>
              </w:rPr>
              <w:t>发电机</w:t>
            </w:r>
            <w:r>
              <w:rPr>
                <w:rFonts w:hint="eastAsia" w:cs="Times New Roman"/>
                <w:b w:val="0"/>
                <w:bCs w:val="0"/>
                <w:color w:val="auto"/>
                <w:sz w:val="24"/>
                <w:szCs w:val="24"/>
                <w:highlight w:val="none"/>
                <w:lang w:val="en-US" w:eastAsia="zh-CN"/>
              </w:rPr>
              <w:t>废气</w:t>
            </w:r>
            <w:r>
              <w:rPr>
                <w:rFonts w:hint="default" w:ascii="Times New Roman" w:hAnsi="Times New Roman" w:cs="Times New Roman"/>
                <w:color w:val="auto"/>
                <w:sz w:val="24"/>
                <w:highlight w:val="none"/>
              </w:rPr>
              <w:t>主要污染物为烟尘、CO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、CO、HC、NOx、SO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等。</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highlight w:val="none"/>
              </w:rPr>
              <w:t>食堂油烟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w:t>
            </w:r>
            <w:r>
              <w:rPr>
                <w:rFonts w:hint="eastAsia" w:cs="Times New Roman"/>
                <w:bCs/>
                <w:color w:val="auto"/>
                <w:sz w:val="24"/>
                <w:highlight w:val="none"/>
                <w:lang w:val="en-US" w:eastAsia="zh-CN"/>
              </w:rPr>
              <w:t>设置员工</w:t>
            </w:r>
            <w:r>
              <w:rPr>
                <w:rFonts w:hint="default" w:ascii="Times New Roman" w:hAnsi="Times New Roman" w:cs="Times New Roman"/>
                <w:bCs/>
                <w:color w:val="auto"/>
                <w:sz w:val="24"/>
                <w:highlight w:val="none"/>
              </w:rPr>
              <w:t>食堂，项目</w:t>
            </w:r>
            <w:r>
              <w:rPr>
                <w:rFonts w:hint="default" w:ascii="Times New Roman" w:hAnsi="Times New Roman" w:cs="Times New Roman"/>
                <w:bCs/>
                <w:color w:val="auto"/>
                <w:sz w:val="24"/>
                <w:highlight w:val="none"/>
                <w:lang w:val="en-US" w:eastAsia="zh-CN"/>
              </w:rPr>
              <w:t>食堂就餐人员</w:t>
            </w:r>
            <w:r>
              <w:rPr>
                <w:rFonts w:hint="eastAsia" w:cs="Times New Roman"/>
                <w:bCs/>
                <w:color w:val="auto"/>
                <w:sz w:val="24"/>
                <w:highlight w:val="none"/>
                <w:lang w:val="en-US" w:eastAsia="zh-CN"/>
              </w:rPr>
              <w:t>250</w:t>
            </w:r>
            <w:r>
              <w:rPr>
                <w:rFonts w:hint="default" w:ascii="Times New Roman" w:hAnsi="Times New Roman" w:cs="Times New Roman"/>
                <w:bCs/>
                <w:color w:val="auto"/>
                <w:sz w:val="24"/>
                <w:highlight w:val="none"/>
              </w:rPr>
              <w:t>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w:t>
            </w:r>
            <w:r>
              <w:rPr>
                <w:rFonts w:hint="eastAsia" w:cs="Times New Roman"/>
                <w:bCs/>
                <w:color w:val="auto"/>
                <w:sz w:val="24"/>
                <w:highlight w:val="none"/>
                <w:lang w:val="en-US" w:eastAsia="zh-CN"/>
              </w:rPr>
              <w:t>0.077t</w:t>
            </w:r>
            <w:r>
              <w:rPr>
                <w:rFonts w:hint="default" w:ascii="Times New Roman" w:hAnsi="Times New Roman" w:cs="Times New Roman"/>
                <w:bCs/>
                <w:color w:val="auto"/>
                <w:sz w:val="24"/>
                <w:highlight w:val="none"/>
              </w:rPr>
              <w:t>/a。</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eastAsia"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lang w:eastAsia="zh-CN"/>
              </w:rPr>
              <w:t>）一体化污水处理设施恶臭</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一体化污水处理设施恶臭主要来源于污水、污泥中有机物的分解、发酵过程中散发的化学物质，其主要成分为硫化氢、氨、硫醇类等物质。根据美国EPA对城市污水处理厂恶臭污染物产生情况的研究，每去除1g的BOD</w:t>
            </w:r>
            <w:r>
              <w:rPr>
                <w:rFonts w:hint="default" w:ascii="Times New Roman" w:hAnsi="Times New Roman" w:cs="Times New Roman"/>
                <w:b w:val="0"/>
                <w:bCs w:val="0"/>
                <w:color w:val="auto"/>
                <w:sz w:val="24"/>
                <w:szCs w:val="24"/>
                <w:highlight w:val="none"/>
                <w:vertAlign w:val="subscript"/>
                <w:lang w:eastAsia="zh-CN"/>
              </w:rPr>
              <w:t>5</w:t>
            </w:r>
            <w:r>
              <w:rPr>
                <w:rFonts w:hint="default" w:ascii="Times New Roman" w:hAnsi="Times New Roman" w:cs="Times New Roman"/>
                <w:b w:val="0"/>
                <w:bCs w:val="0"/>
                <w:color w:val="auto"/>
                <w:sz w:val="24"/>
                <w:szCs w:val="24"/>
                <w:highlight w:val="none"/>
                <w:lang w:eastAsia="zh-CN"/>
              </w:rPr>
              <w:t>可产生0.0031g的NH</w:t>
            </w:r>
            <w:r>
              <w:rPr>
                <w:rFonts w:hint="default" w:ascii="Times New Roman" w:hAnsi="Times New Roman" w:cs="Times New Roman"/>
                <w:b w:val="0"/>
                <w:bCs w:val="0"/>
                <w:color w:val="auto"/>
                <w:sz w:val="24"/>
                <w:szCs w:val="24"/>
                <w:highlight w:val="none"/>
                <w:vertAlign w:val="subscript"/>
                <w:lang w:eastAsia="zh-CN"/>
              </w:rPr>
              <w:t>3</w:t>
            </w:r>
            <w:r>
              <w:rPr>
                <w:rFonts w:hint="default" w:ascii="Times New Roman" w:hAnsi="Times New Roman" w:cs="Times New Roman"/>
                <w:b w:val="0"/>
                <w:bCs w:val="0"/>
                <w:color w:val="auto"/>
                <w:sz w:val="24"/>
                <w:szCs w:val="24"/>
                <w:highlight w:val="none"/>
                <w:lang w:eastAsia="zh-CN"/>
              </w:rPr>
              <w:t>和0.00012g的H</w:t>
            </w:r>
            <w:r>
              <w:rPr>
                <w:rFonts w:hint="default" w:ascii="Times New Roman" w:hAnsi="Times New Roman" w:cs="Times New Roman"/>
                <w:b w:val="0"/>
                <w:bCs w:val="0"/>
                <w:color w:val="auto"/>
                <w:sz w:val="24"/>
                <w:szCs w:val="24"/>
                <w:highlight w:val="none"/>
                <w:vertAlign w:val="subscript"/>
                <w:lang w:eastAsia="zh-CN"/>
              </w:rPr>
              <w:t>2</w:t>
            </w:r>
            <w:r>
              <w:rPr>
                <w:rFonts w:hint="default" w:ascii="Times New Roman" w:hAnsi="Times New Roman" w:cs="Times New Roman"/>
                <w:b w:val="0"/>
                <w:bCs w:val="0"/>
                <w:color w:val="auto"/>
                <w:sz w:val="24"/>
                <w:szCs w:val="24"/>
                <w:highlight w:val="none"/>
                <w:lang w:eastAsia="zh-CN"/>
              </w:rPr>
              <w:t>S。本项目进入</w:t>
            </w:r>
            <w:r>
              <w:rPr>
                <w:rFonts w:hint="eastAsia" w:cs="Times New Roman"/>
                <w:b w:val="0"/>
                <w:bCs w:val="0"/>
                <w:color w:val="auto"/>
                <w:sz w:val="24"/>
                <w:szCs w:val="24"/>
                <w:highlight w:val="none"/>
                <w:lang w:eastAsia="zh-CN"/>
              </w:rPr>
              <w:t>一体化污水处理设施</w:t>
            </w:r>
            <w:r>
              <w:rPr>
                <w:rFonts w:hint="default" w:ascii="Times New Roman" w:hAnsi="Times New Roman" w:cs="Times New Roman"/>
                <w:b w:val="0"/>
                <w:bCs w:val="0"/>
                <w:color w:val="auto"/>
                <w:sz w:val="24"/>
                <w:szCs w:val="24"/>
                <w:highlight w:val="none"/>
                <w:lang w:eastAsia="zh-CN"/>
              </w:rPr>
              <w:t>的废水量为</w:t>
            </w:r>
            <w:r>
              <w:rPr>
                <w:rFonts w:hint="eastAsia" w:cs="Times New Roman"/>
                <w:b w:val="0"/>
                <w:bCs w:val="0"/>
                <w:color w:val="auto"/>
                <w:sz w:val="24"/>
                <w:szCs w:val="24"/>
                <w:highlight w:val="none"/>
                <w:lang w:val="en-US" w:eastAsia="zh-CN"/>
              </w:rPr>
              <w:t>26542.80</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a</w:t>
            </w:r>
            <w:r>
              <w:rPr>
                <w:rFonts w:hint="default" w:ascii="Times New Roman" w:hAnsi="Times New Roman" w:cs="Times New Roman"/>
                <w:b w:val="0"/>
                <w:bCs w:val="0"/>
                <w:color w:val="auto"/>
                <w:sz w:val="24"/>
                <w:szCs w:val="24"/>
                <w:highlight w:val="none"/>
                <w:lang w:eastAsia="zh-CN"/>
              </w:rPr>
              <w:t>，参照《医院污水处理技术指南》环发〔2003〕197号中“表2-2医院污水水质”可知BOD</w:t>
            </w:r>
            <w:r>
              <w:rPr>
                <w:rFonts w:hint="default" w:ascii="Times New Roman" w:hAnsi="Times New Roman" w:cs="Times New Roman"/>
                <w:b w:val="0"/>
                <w:bCs w:val="0"/>
                <w:color w:val="auto"/>
                <w:sz w:val="24"/>
                <w:szCs w:val="24"/>
                <w:highlight w:val="none"/>
                <w:vertAlign w:val="subscript"/>
                <w:lang w:eastAsia="zh-CN"/>
              </w:rPr>
              <w:t>5</w:t>
            </w:r>
            <w:r>
              <w:rPr>
                <w:rFonts w:hint="default" w:ascii="Times New Roman" w:hAnsi="Times New Roman" w:cs="Times New Roman"/>
                <w:b w:val="0"/>
                <w:bCs w:val="0"/>
                <w:color w:val="auto"/>
                <w:sz w:val="24"/>
                <w:szCs w:val="24"/>
                <w:highlight w:val="none"/>
                <w:lang w:eastAsia="zh-CN"/>
              </w:rPr>
              <w:t>浓度范围为80mg/L~150mg/L，本次评价以最大值150mg/L进行估算BOD</w:t>
            </w:r>
            <w:r>
              <w:rPr>
                <w:rFonts w:hint="default" w:ascii="Times New Roman" w:hAnsi="Times New Roman" w:cs="Times New Roman"/>
                <w:b w:val="0"/>
                <w:bCs w:val="0"/>
                <w:color w:val="auto"/>
                <w:sz w:val="24"/>
                <w:szCs w:val="24"/>
                <w:highlight w:val="none"/>
                <w:vertAlign w:val="subscript"/>
                <w:lang w:eastAsia="zh-CN"/>
              </w:rPr>
              <w:t>5</w:t>
            </w:r>
            <w:r>
              <w:rPr>
                <w:rFonts w:hint="default" w:ascii="Times New Roman" w:hAnsi="Times New Roman" w:cs="Times New Roman"/>
                <w:b w:val="0"/>
                <w:bCs w:val="0"/>
                <w:color w:val="auto"/>
                <w:sz w:val="24"/>
                <w:szCs w:val="24"/>
                <w:highlight w:val="none"/>
                <w:lang w:eastAsia="zh-CN"/>
              </w:rPr>
              <w:t>产生量为</w:t>
            </w:r>
            <w:r>
              <w:rPr>
                <w:rFonts w:hint="eastAsia" w:cs="Times New Roman"/>
                <w:b w:val="0"/>
                <w:bCs w:val="0"/>
                <w:color w:val="auto"/>
                <w:sz w:val="24"/>
                <w:szCs w:val="24"/>
                <w:highlight w:val="none"/>
                <w:lang w:val="en-US" w:eastAsia="zh-CN"/>
              </w:rPr>
              <w:t>3.981</w:t>
            </w:r>
            <w:r>
              <w:rPr>
                <w:rFonts w:hint="default" w:ascii="Times New Roman" w:hAnsi="Times New Roman" w:cs="Times New Roman"/>
                <w:b w:val="0"/>
                <w:bCs w:val="0"/>
                <w:color w:val="auto"/>
                <w:sz w:val="24"/>
                <w:szCs w:val="24"/>
                <w:highlight w:val="none"/>
                <w:lang w:eastAsia="zh-CN"/>
              </w:rPr>
              <w:t>t/a；根据《医疗机构水污染物排放标准》（GB18466-2005）的预处理标准中BOD</w:t>
            </w:r>
            <w:r>
              <w:rPr>
                <w:rFonts w:hint="default" w:ascii="Times New Roman" w:hAnsi="Times New Roman" w:cs="Times New Roman"/>
                <w:b w:val="0"/>
                <w:bCs w:val="0"/>
                <w:color w:val="auto"/>
                <w:sz w:val="24"/>
                <w:szCs w:val="24"/>
                <w:highlight w:val="none"/>
                <w:vertAlign w:val="subscript"/>
                <w:lang w:eastAsia="zh-CN"/>
              </w:rPr>
              <w:t>5</w:t>
            </w:r>
            <w:r>
              <w:rPr>
                <w:rFonts w:hint="default" w:ascii="Times New Roman" w:hAnsi="Times New Roman" w:cs="Times New Roman"/>
                <w:b w:val="0"/>
                <w:bCs w:val="0"/>
                <w:color w:val="auto"/>
                <w:sz w:val="24"/>
                <w:szCs w:val="24"/>
                <w:highlight w:val="none"/>
                <w:lang w:eastAsia="zh-CN"/>
              </w:rPr>
              <w:t>预处理排放浓度为100mg/L进行估算BOD</w:t>
            </w:r>
            <w:r>
              <w:rPr>
                <w:rFonts w:hint="default" w:ascii="Times New Roman" w:hAnsi="Times New Roman" w:cs="Times New Roman"/>
                <w:b w:val="0"/>
                <w:bCs w:val="0"/>
                <w:color w:val="auto"/>
                <w:sz w:val="24"/>
                <w:szCs w:val="24"/>
                <w:highlight w:val="none"/>
                <w:vertAlign w:val="subscript"/>
                <w:lang w:eastAsia="zh-CN"/>
              </w:rPr>
              <w:t>5</w:t>
            </w:r>
            <w:r>
              <w:rPr>
                <w:rFonts w:hint="default" w:ascii="Times New Roman" w:hAnsi="Times New Roman" w:cs="Times New Roman"/>
                <w:b w:val="0"/>
                <w:bCs w:val="0"/>
                <w:color w:val="auto"/>
                <w:sz w:val="24"/>
                <w:szCs w:val="24"/>
                <w:highlight w:val="none"/>
                <w:lang w:eastAsia="zh-CN"/>
              </w:rPr>
              <w:t>排放量为</w:t>
            </w:r>
            <w:r>
              <w:rPr>
                <w:rFonts w:hint="eastAsia" w:cs="Times New Roman"/>
                <w:b w:val="0"/>
                <w:bCs w:val="0"/>
                <w:color w:val="auto"/>
                <w:sz w:val="24"/>
                <w:szCs w:val="24"/>
                <w:highlight w:val="none"/>
                <w:lang w:val="en-US" w:eastAsia="zh-CN"/>
              </w:rPr>
              <w:t>2.654</w:t>
            </w:r>
            <w:r>
              <w:rPr>
                <w:rFonts w:hint="default" w:ascii="Times New Roman" w:hAnsi="Times New Roman" w:cs="Times New Roman"/>
                <w:b w:val="0"/>
                <w:bCs w:val="0"/>
                <w:color w:val="auto"/>
                <w:sz w:val="24"/>
                <w:szCs w:val="24"/>
                <w:highlight w:val="none"/>
                <w:lang w:eastAsia="zh-CN"/>
              </w:rPr>
              <w:t>t/a。经计算，本项目一体化污水处理设施恶臭中NH</w:t>
            </w:r>
            <w:r>
              <w:rPr>
                <w:rFonts w:hint="default" w:ascii="Times New Roman" w:hAnsi="Times New Roman" w:cs="Times New Roman"/>
                <w:b w:val="0"/>
                <w:bCs w:val="0"/>
                <w:color w:val="auto"/>
                <w:sz w:val="24"/>
                <w:szCs w:val="24"/>
                <w:highlight w:val="none"/>
                <w:vertAlign w:val="subscript"/>
                <w:lang w:eastAsia="zh-CN"/>
              </w:rPr>
              <w:t>3</w:t>
            </w:r>
            <w:r>
              <w:rPr>
                <w:rFonts w:hint="default" w:ascii="Times New Roman" w:hAnsi="Times New Roman" w:cs="Times New Roman"/>
                <w:b w:val="0"/>
                <w:bCs w:val="0"/>
                <w:color w:val="auto"/>
                <w:sz w:val="24"/>
                <w:szCs w:val="24"/>
                <w:highlight w:val="none"/>
                <w:lang w:eastAsia="zh-CN"/>
              </w:rPr>
              <w:t>、H</w:t>
            </w:r>
            <w:r>
              <w:rPr>
                <w:rFonts w:hint="default" w:ascii="Times New Roman" w:hAnsi="Times New Roman" w:cs="Times New Roman"/>
                <w:b w:val="0"/>
                <w:bCs w:val="0"/>
                <w:color w:val="auto"/>
                <w:sz w:val="24"/>
                <w:szCs w:val="24"/>
                <w:highlight w:val="none"/>
                <w:vertAlign w:val="subscript"/>
                <w:lang w:eastAsia="zh-CN"/>
              </w:rPr>
              <w:t>2</w:t>
            </w:r>
            <w:r>
              <w:rPr>
                <w:rFonts w:hint="default" w:ascii="Times New Roman" w:hAnsi="Times New Roman" w:cs="Times New Roman"/>
                <w:b w:val="0"/>
                <w:bCs w:val="0"/>
                <w:color w:val="auto"/>
                <w:sz w:val="24"/>
                <w:szCs w:val="24"/>
                <w:highlight w:val="none"/>
                <w:lang w:eastAsia="zh-CN"/>
              </w:rPr>
              <w:t>S产生总量分别为</w:t>
            </w:r>
            <w:r>
              <w:rPr>
                <w:rFonts w:hint="eastAsia" w:cs="Times New Roman"/>
                <w:b w:val="0"/>
                <w:bCs w:val="0"/>
                <w:color w:val="auto"/>
                <w:sz w:val="24"/>
                <w:szCs w:val="24"/>
                <w:highlight w:val="none"/>
                <w:lang w:val="en-US" w:eastAsia="zh-CN"/>
              </w:rPr>
              <w:t>4.114</w:t>
            </w:r>
            <w:r>
              <w:rPr>
                <w:rFonts w:hint="default" w:ascii="Times New Roman" w:hAnsi="Times New Roman" w:cs="Times New Roman"/>
                <w:b w:val="0"/>
                <w:bCs w:val="0"/>
                <w:color w:val="auto"/>
                <w:sz w:val="24"/>
                <w:szCs w:val="24"/>
                <w:highlight w:val="none"/>
                <w:lang w:val="en-US" w:eastAsia="zh-CN"/>
              </w:rPr>
              <w:t>kg</w:t>
            </w:r>
            <w:r>
              <w:rPr>
                <w:rFonts w:hint="default" w:ascii="Times New Roman" w:hAnsi="Times New Roman" w:cs="Times New Roman"/>
                <w:b w:val="0"/>
                <w:bCs w:val="0"/>
                <w:color w:val="auto"/>
                <w:sz w:val="24"/>
                <w:szCs w:val="24"/>
                <w:highlight w:val="none"/>
                <w:lang w:eastAsia="zh-CN"/>
              </w:rPr>
              <w:t>/a</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0.00047kg/h</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0.159</w:t>
            </w:r>
            <w:r>
              <w:rPr>
                <w:rFonts w:hint="default" w:ascii="Times New Roman" w:hAnsi="Times New Roman" w:cs="Times New Roman"/>
                <w:b w:val="0"/>
                <w:bCs w:val="0"/>
                <w:color w:val="auto"/>
                <w:sz w:val="24"/>
                <w:szCs w:val="24"/>
                <w:highlight w:val="none"/>
                <w:lang w:val="en-US" w:eastAsia="zh-CN"/>
              </w:rPr>
              <w:t>kg</w:t>
            </w:r>
            <w:r>
              <w:rPr>
                <w:rFonts w:hint="default" w:ascii="Times New Roman" w:hAnsi="Times New Roman" w:cs="Times New Roman"/>
                <w:b w:val="0"/>
                <w:bCs w:val="0"/>
                <w:color w:val="auto"/>
                <w:sz w:val="24"/>
                <w:szCs w:val="24"/>
                <w:highlight w:val="none"/>
                <w:lang w:eastAsia="zh-CN"/>
              </w:rPr>
              <w:t>/a</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0.00002kg/h</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lang w:val="en-US" w:eastAsia="zh-CN"/>
              </w:rPr>
              <w:t>）汽车尾气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进出车辆的汽车尾气是项目大气污染源之一，尾气主要含有CO、NOx、TSP和未完全燃烧的碳氢化合物THC。</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2、排放形式、治理措施、排放量及排放口基本情况</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）病区含菌空气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本项目拟对病房区、走廊、各科诊室和实验区等区域定期消毒处理，同时对住院病房区、手术室、实验区等设置独立的通风系统，并加装紫外线灯或等离子空气净化消毒机进行消毒灭菌</w:t>
            </w:r>
            <w:r>
              <w:rPr>
                <w:rFonts w:hint="eastAsia"/>
                <w:color w:val="auto"/>
                <w:sz w:val="24"/>
                <w:highlight w:val="none"/>
              </w:rPr>
              <w:t>，</w:t>
            </w:r>
            <w:r>
              <w:rPr>
                <w:color w:val="auto"/>
                <w:sz w:val="24"/>
                <w:highlight w:val="none"/>
              </w:rPr>
              <w:t>保证给病人与医护人员一个清新卫生的环境。</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含病原微生物气溶胶废气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建设单位拟配置3台A2型生物安全柜，</w:t>
            </w:r>
            <w:r>
              <w:rPr>
                <w:rFonts w:hint="eastAsia" w:cs="Times New Roman"/>
                <w:b/>
                <w:bCs/>
                <w:color w:val="auto"/>
                <w:sz w:val="24"/>
                <w:szCs w:val="24"/>
                <w:highlight w:val="none"/>
                <w:lang w:val="en-US" w:eastAsia="zh-CN"/>
              </w:rPr>
              <w:t>环评要求：</w:t>
            </w:r>
            <w:r>
              <w:rPr>
                <w:rFonts w:hint="eastAsia" w:cs="Times New Roman"/>
                <w:b w:val="0"/>
                <w:bCs w:val="0"/>
                <w:color w:val="auto"/>
                <w:sz w:val="24"/>
                <w:szCs w:val="24"/>
                <w:highlight w:val="none"/>
                <w:lang w:val="en-US" w:eastAsia="zh-CN"/>
              </w:rPr>
              <w:t>微生物实验室中样品制备、操作等均在A2型生物安全柜中进行，试剂准备在超净工作台进行。在微生物实验室、无菌室、药剂准备室、标本制备室、扩增分析室各配置1台可移动紫外线灯。实验废气中含有微生物病毒，经A2型生物安全柜中的HEPA高效过滤器处理后进入新风系统过滤，再经紫外线消毒灭菌等处理后由引风机从楼侧排处室外。</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eastAsia" w:ascii="Times New Roman" w:hAnsi="Times New Roman" w:eastAsia="宋体" w:cs="Times New Roman"/>
                <w:color w:val="auto"/>
                <w:sz w:val="24"/>
                <w:lang w:eastAsia="zh-CN" w:bidi="ar"/>
              </w:rPr>
            </w:pPr>
            <w:r>
              <w:rPr>
                <w:rFonts w:hint="eastAsia" w:cs="Times New Roman"/>
                <w:b/>
                <w:bCs/>
                <w:color w:val="auto"/>
                <w:sz w:val="24"/>
                <w:szCs w:val="24"/>
                <w:highlight w:val="none"/>
                <w:lang w:eastAsia="zh-CN"/>
              </w:rPr>
              <w:t>HEPA过滤器原理：</w:t>
            </w:r>
            <w:r>
              <w:rPr>
                <w:rFonts w:hint="eastAsia" w:cs="Times New Roman"/>
                <w:b w:val="0"/>
                <w:bCs w:val="0"/>
                <w:color w:val="auto"/>
                <w:sz w:val="24"/>
                <w:szCs w:val="24"/>
                <w:highlight w:val="none"/>
                <w:lang w:val="en-US" w:eastAsia="zh-CN"/>
              </w:rPr>
              <w:t>A2型</w:t>
            </w:r>
            <w:r>
              <w:rPr>
                <w:rFonts w:hint="eastAsia" w:cs="Times New Roman"/>
                <w:b w:val="0"/>
                <w:bCs w:val="0"/>
                <w:color w:val="auto"/>
                <w:sz w:val="24"/>
                <w:szCs w:val="24"/>
                <w:highlight w:val="none"/>
                <w:lang w:eastAsia="zh-CN"/>
              </w:rPr>
              <w:t>生物安全柜中，HEPA过滤网有足够的纤维使得10000个微粒物中最多只允许3个以下0.3微米的微粒物通过，即捕捉率高达99.995%。任何微粒物如果它在空气中，HEPA过滤网将会一视同仁的捕捉它，这些包括家庭灰尘、纤维、香烟烟雾、动物毛发、植物花粉、细菌、微菌及其他病毒、菌体。细菌和病毒无法生存于没有水份的环境下，大部分</w:t>
            </w:r>
            <w:r>
              <w:rPr>
                <w:rFonts w:hint="eastAsia" w:cs="Times New Roman"/>
                <w:b w:val="0"/>
                <w:bCs w:val="0"/>
                <w:color w:val="auto"/>
                <w:sz w:val="24"/>
                <w:szCs w:val="24"/>
                <w:highlight w:val="none"/>
                <w:lang w:val="en-US" w:eastAsia="zh-CN"/>
              </w:rPr>
              <w:t>悬浮</w:t>
            </w:r>
            <w:r>
              <w:rPr>
                <w:rFonts w:hint="eastAsia" w:cs="Times New Roman"/>
                <w:b w:val="0"/>
                <w:bCs w:val="0"/>
                <w:color w:val="auto"/>
                <w:sz w:val="24"/>
                <w:szCs w:val="24"/>
                <w:highlight w:val="none"/>
                <w:lang w:eastAsia="zh-CN"/>
              </w:rPr>
              <w:t>于空气中的污染微粒物含有少量的水份这将提供细菌和病毒所赖以维生的物质。一旦悬浮微粒物与细菌、病毒同被HEPA滤心所捕获，HEPA 细密的纤维</w:t>
            </w:r>
            <w:r>
              <w:rPr>
                <w:rFonts w:hint="default" w:ascii="Times New Roman" w:hAnsi="Times New Roman" w:cs="Times New Roman"/>
                <w:b w:val="0"/>
                <w:bCs w:val="0"/>
                <w:color w:val="auto"/>
                <w:sz w:val="24"/>
                <w:szCs w:val="24"/>
                <w:highlight w:val="none"/>
                <w:lang w:eastAsia="zh-CN"/>
              </w:rPr>
              <w:t>会将之紧紧包覆，其水份很快地被蒸发，水份供应中断，被捕获的细菌、病毒便无法存活。</w:t>
            </w:r>
            <w:r>
              <w:rPr>
                <w:rFonts w:hint="default" w:ascii="Times New Roman" w:hAnsi="Times New Roman" w:cs="Times New Roman"/>
                <w:b w:val="0"/>
                <w:bCs w:val="0"/>
                <w:color w:val="auto"/>
                <w:sz w:val="24"/>
                <w:szCs w:val="24"/>
                <w:highlight w:val="none"/>
                <w:lang w:val="en-US" w:eastAsia="zh-CN"/>
              </w:rPr>
              <w:t>项目</w:t>
            </w:r>
            <w:r>
              <w:rPr>
                <w:rFonts w:hint="default" w:ascii="Times New Roman" w:hAnsi="Times New Roman" w:eastAsia="宋体" w:cs="Times New Roman"/>
                <w:color w:val="auto"/>
                <w:sz w:val="24"/>
                <w:lang w:eastAsia="zh-CN" w:bidi="ar"/>
              </w:rPr>
              <w:t>微生物实验室</w:t>
            </w:r>
            <w:r>
              <w:rPr>
                <w:rFonts w:hint="eastAsia" w:ascii="Times New Roman" w:hAnsi="Times New Roman" w:eastAsia="宋体" w:cs="Times New Roman"/>
                <w:color w:val="auto"/>
                <w:sz w:val="24"/>
                <w:lang w:val="en-US" w:eastAsia="zh-CN" w:bidi="ar"/>
              </w:rPr>
              <w:t>A2型</w:t>
            </w:r>
            <w:r>
              <w:rPr>
                <w:rFonts w:hint="default" w:ascii="Times New Roman" w:hAnsi="Times New Roman" w:eastAsia="宋体" w:cs="Times New Roman"/>
                <w:color w:val="auto"/>
                <w:sz w:val="24"/>
                <w:lang w:eastAsia="zh-CN" w:bidi="ar"/>
              </w:rPr>
              <w:t>生物安全柜中的过滤系统对微生物病毒的去除效果为99.99%以上</w:t>
            </w:r>
            <w:r>
              <w:rPr>
                <w:rFonts w:hint="eastAsia" w:ascii="Times New Roman" w:hAnsi="Times New Roman" w:eastAsia="宋体" w:cs="Times New Roman"/>
                <w:color w:val="auto"/>
                <w:sz w:val="24"/>
                <w:lang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eastAsia" w:ascii="宋体" w:hAnsi="宋体" w:eastAsia="宋体" w:cs="宋体"/>
                <w:color w:val="auto"/>
                <w:kern w:val="2"/>
                <w:sz w:val="24"/>
                <w:szCs w:val="24"/>
                <w:lang w:val="en-US" w:eastAsia="zh-CN" w:bidi="ar"/>
              </w:rPr>
            </w:pPr>
            <w:r>
              <w:rPr>
                <w:rFonts w:hint="eastAsia" w:cs="Times New Roman"/>
                <w:b/>
                <w:bCs/>
                <w:color w:val="auto"/>
                <w:sz w:val="24"/>
                <w:lang w:val="en-US" w:eastAsia="zh-CN" w:bidi="ar"/>
              </w:rPr>
              <w:t>新风系统高效过滤器：</w:t>
            </w:r>
            <w:r>
              <w:rPr>
                <w:rFonts w:hint="eastAsia" w:ascii="宋体" w:hAnsi="宋体" w:eastAsia="宋体" w:cs="宋体"/>
                <w:color w:val="auto"/>
                <w:kern w:val="2"/>
                <w:sz w:val="24"/>
                <w:szCs w:val="24"/>
                <w:lang w:val="en-US" w:eastAsia="zh-CN" w:bidi="ar"/>
              </w:rPr>
              <w:t>实验</w:t>
            </w:r>
            <w:r>
              <w:rPr>
                <w:rFonts w:hint="eastAsia" w:ascii="宋体" w:hAnsi="宋体" w:cs="宋体"/>
                <w:color w:val="auto"/>
                <w:kern w:val="2"/>
                <w:sz w:val="24"/>
                <w:szCs w:val="24"/>
                <w:lang w:val="en-US" w:eastAsia="zh-CN" w:bidi="ar"/>
              </w:rPr>
              <w:t>区</w:t>
            </w:r>
            <w:r>
              <w:rPr>
                <w:rFonts w:hint="eastAsia" w:ascii="宋体" w:hAnsi="宋体" w:eastAsia="宋体" w:cs="宋体"/>
                <w:color w:val="auto"/>
                <w:kern w:val="2"/>
                <w:sz w:val="24"/>
                <w:szCs w:val="24"/>
                <w:lang w:val="en-US" w:eastAsia="zh-CN" w:bidi="ar"/>
              </w:rPr>
              <w:t>设置独立的新风系统，新风系统设置了高效过滤机组，该机组符合生物安全及环保规范的</w:t>
            </w:r>
            <w:r>
              <w:rPr>
                <w:rFonts w:hint="default" w:ascii="Times New Roman" w:hAnsi="Times New Roman" w:eastAsia="宋体" w:cs="Times New Roman"/>
                <w:color w:val="auto"/>
                <w:kern w:val="2"/>
                <w:sz w:val="24"/>
                <w:szCs w:val="24"/>
                <w:lang w:val="en-US" w:eastAsia="zh-CN" w:bidi="ar"/>
              </w:rPr>
              <w:t>HEPA</w:t>
            </w:r>
            <w:r>
              <w:rPr>
                <w:rFonts w:hint="eastAsia" w:ascii="宋体" w:hAnsi="宋体" w:eastAsia="宋体" w:cs="宋体"/>
                <w:color w:val="auto"/>
                <w:kern w:val="2"/>
                <w:sz w:val="24"/>
                <w:szCs w:val="24"/>
                <w:lang w:val="en-US" w:eastAsia="zh-CN" w:bidi="ar"/>
              </w:rPr>
              <w:t>高效过滤单元，过滤孔径</w:t>
            </w:r>
            <w:r>
              <w:rPr>
                <w:rFonts w:hint="default" w:ascii="Times New Roman" w:hAnsi="Times New Roman" w:eastAsia="宋体" w:cs="Times New Roman"/>
                <w:color w:val="auto"/>
                <w:kern w:val="2"/>
                <w:sz w:val="24"/>
                <w:szCs w:val="24"/>
                <w:lang w:val="en-US" w:eastAsia="zh-CN" w:bidi="ar"/>
              </w:rPr>
              <w:t>0.3um</w:t>
            </w:r>
            <w:r>
              <w:rPr>
                <w:rFonts w:hint="eastAsia" w:cs="Times New Roman"/>
                <w:color w:val="auto"/>
                <w:kern w:val="2"/>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eastAsia="宋体" w:cs="Times New Roman"/>
                <w:b/>
                <w:bCs/>
                <w:color w:val="auto"/>
                <w:sz w:val="24"/>
                <w:lang w:val="en-US" w:eastAsia="zh-CN" w:bidi="ar"/>
              </w:rPr>
            </w:pPr>
            <w:r>
              <w:rPr>
                <w:rFonts w:hint="eastAsia" w:ascii="Times New Roman" w:hAnsi="Times New Roman" w:eastAsia="宋体" w:cs="Times New Roman"/>
                <w:b/>
                <w:bCs/>
                <w:color w:val="auto"/>
                <w:sz w:val="24"/>
                <w:lang w:val="en-US" w:eastAsia="zh-CN" w:bidi="ar"/>
              </w:rPr>
              <w:t>紫外消毒：</w:t>
            </w:r>
            <w:r>
              <w:rPr>
                <w:rFonts w:hint="default" w:ascii="Times New Roman" w:hAnsi="Times New Roman" w:eastAsia="宋体" w:cs="Times New Roman"/>
                <w:color w:val="auto"/>
                <w:sz w:val="24"/>
                <w:lang w:val="en-US" w:eastAsia="zh-CN" w:bidi="ar"/>
              </w:rPr>
              <w:t>当实验室检测样品较多，为防止实验室操作人员感染，对实验室内的空气用紫外线进行消毒</w:t>
            </w:r>
            <w:r>
              <w:rPr>
                <w:rFonts w:hint="eastAsia" w:ascii="宋体" w:hAnsi="宋体" w:eastAsia="宋体" w:cs="宋体"/>
                <w:color w:val="auto"/>
                <w:kern w:val="2"/>
                <w:sz w:val="24"/>
                <w:szCs w:val="24"/>
                <w:lang w:val="en-US" w:eastAsia="zh-CN" w:bidi="ar"/>
              </w:rPr>
              <w:t>。</w:t>
            </w:r>
          </w:p>
          <w:p>
            <w:pPr>
              <w:pStyle w:val="18"/>
              <w:keepNext w:val="0"/>
              <w:keepLines w:val="0"/>
              <w:widowControl w:val="0"/>
              <w:suppressLineNumbers w:val="0"/>
              <w:spacing w:before="0" w:beforeAutospacing="0" w:after="0" w:afterAutospacing="0" w:line="360" w:lineRule="auto"/>
              <w:ind w:right="0"/>
              <w:jc w:val="center"/>
              <w:rPr>
                <w:rFonts w:hint="eastAsia" w:ascii="Times New Roman" w:hAnsi="Times New Roman" w:eastAsia="宋体" w:cs="宋体"/>
                <w:color w:val="auto"/>
                <w:kern w:val="2"/>
                <w:sz w:val="24"/>
                <w:szCs w:val="24"/>
              </w:rPr>
            </w:pPr>
            <w:r>
              <w:rPr>
                <w:rFonts w:hint="default" w:ascii="Times New Roman" w:hAnsi="Times New Roman" w:eastAsia="宋体" w:cs="宋体"/>
                <w:color w:val="auto"/>
                <w:kern w:val="2"/>
                <w:sz w:val="24"/>
                <w:szCs w:val="24"/>
                <w:lang w:val="en-US" w:eastAsia="zh-CN" w:bidi="ar"/>
              </w:rPr>
              <w:fldChar w:fldCharType="begin"/>
            </w:r>
            <w:r>
              <w:rPr>
                <w:rFonts w:hint="default" w:ascii="Times New Roman" w:hAnsi="Times New Roman" w:eastAsia="宋体" w:cs="宋体"/>
                <w:color w:val="auto"/>
                <w:kern w:val="2"/>
                <w:sz w:val="24"/>
                <w:szCs w:val="24"/>
                <w:lang w:val="en-US" w:eastAsia="zh-CN" w:bidi="ar"/>
              </w:rPr>
              <w:instrText xml:space="preserve">INCLUDEPICTURE \d "C:\\Users\\ADMINI~1\\AppData\\Local\\Temp\\ksohtml\\wpsD71C.tmp.jpg" \* MERGEFORMATINET </w:instrText>
            </w:r>
            <w:r>
              <w:rPr>
                <w:rFonts w:hint="default" w:ascii="Times New Roman" w:hAnsi="Times New Roman" w:eastAsia="宋体" w:cs="宋体"/>
                <w:color w:val="auto"/>
                <w:kern w:val="2"/>
                <w:sz w:val="24"/>
                <w:szCs w:val="24"/>
                <w:lang w:val="en-US" w:eastAsia="zh-CN" w:bidi="ar"/>
              </w:rPr>
              <w:fldChar w:fldCharType="separate"/>
            </w:r>
            <w:r>
              <w:rPr>
                <w:rFonts w:hint="default" w:ascii="Times New Roman" w:hAnsi="Times New Roman" w:eastAsia="宋体" w:cs="宋体"/>
                <w:color w:val="auto"/>
                <w:kern w:val="2"/>
                <w:sz w:val="24"/>
                <w:szCs w:val="24"/>
                <w:lang w:val="en-US" w:eastAsia="zh-CN" w:bidi="ar"/>
              </w:rPr>
              <w:drawing>
                <wp:inline distT="0" distB="0" distL="114300" distR="114300">
                  <wp:extent cx="4181475" cy="2809875"/>
                  <wp:effectExtent l="0" t="0" r="9525" b="9525"/>
                  <wp:docPr id="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56"/>
                          <pic:cNvPicPr>
                            <a:picLocks noChangeAspect="1"/>
                          </pic:cNvPicPr>
                        </pic:nvPicPr>
                        <pic:blipFill>
                          <a:blip r:embed="rId22"/>
                          <a:stretch>
                            <a:fillRect/>
                          </a:stretch>
                        </pic:blipFill>
                        <pic:spPr>
                          <a:xfrm>
                            <a:off x="0" y="0"/>
                            <a:ext cx="4181475" cy="2809875"/>
                          </a:xfrm>
                          <a:prstGeom prst="rect">
                            <a:avLst/>
                          </a:prstGeom>
                          <a:noFill/>
                          <a:ln>
                            <a:noFill/>
                          </a:ln>
                        </pic:spPr>
                      </pic:pic>
                    </a:graphicData>
                  </a:graphic>
                </wp:inline>
              </w:drawing>
            </w:r>
            <w:r>
              <w:rPr>
                <w:rFonts w:hint="default" w:ascii="Times New Roman" w:hAnsi="Times New Roman" w:eastAsia="宋体" w:cs="宋体"/>
                <w:color w:val="auto"/>
                <w:kern w:val="2"/>
                <w:sz w:val="24"/>
                <w:szCs w:val="24"/>
                <w:lang w:val="en-US" w:eastAsia="zh-CN" w:bidi="ar"/>
              </w:rPr>
              <w:fldChar w:fldCharType="end"/>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黑体" w:hAnsi="黑体" w:eastAsia="黑体" w:cs="黑体"/>
                <w:color w:val="auto"/>
                <w:kern w:val="2"/>
                <w:sz w:val="21"/>
                <w:szCs w:val="18"/>
                <w:highlight w:val="none"/>
                <w:lang w:val="en-US" w:eastAsia="zh-CN" w:bidi="ar-SA"/>
              </w:rPr>
            </w:pPr>
            <w:r>
              <w:rPr>
                <w:rFonts w:hint="eastAsia" w:ascii="黑体" w:hAnsi="黑体" w:eastAsia="黑体" w:cs="黑体"/>
                <w:color w:val="auto"/>
                <w:kern w:val="2"/>
                <w:sz w:val="21"/>
                <w:szCs w:val="18"/>
                <w:highlight w:val="none"/>
                <w:lang w:val="en-US" w:eastAsia="zh-CN" w:bidi="ar-SA"/>
              </w:rPr>
              <w:t>图4-1</w:t>
            </w:r>
            <w:r>
              <w:rPr>
                <w:rFonts w:hint="default" w:ascii="黑体" w:hAnsi="黑体" w:eastAsia="黑体" w:cs="黑体"/>
                <w:color w:val="auto"/>
                <w:kern w:val="2"/>
                <w:sz w:val="21"/>
                <w:szCs w:val="18"/>
                <w:highlight w:val="none"/>
                <w:lang w:val="en-US" w:eastAsia="zh-CN" w:bidi="ar-SA"/>
              </w:rPr>
              <w:t xml:space="preserve">  </w:t>
            </w:r>
            <w:r>
              <w:rPr>
                <w:rFonts w:hint="eastAsia" w:ascii="黑体" w:hAnsi="黑体" w:eastAsia="黑体" w:cs="黑体"/>
                <w:color w:val="auto"/>
                <w:kern w:val="2"/>
                <w:sz w:val="21"/>
                <w:szCs w:val="18"/>
                <w:highlight w:val="none"/>
                <w:lang w:val="en-US" w:eastAsia="zh-CN" w:bidi="ar-SA"/>
              </w:rPr>
              <w:t>空气过滤系统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3</w:t>
            </w:r>
            <w:r>
              <w:rPr>
                <w:rFonts w:hint="eastAsia" w:cs="Times New Roman"/>
                <w:b/>
                <w:bCs/>
                <w:color w:val="auto"/>
                <w:sz w:val="24"/>
                <w:szCs w:val="24"/>
                <w:highlight w:val="none"/>
                <w:lang w:eastAsia="zh-CN"/>
              </w:rPr>
              <w:t>）垃圾恶臭</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本项目不设置单独的生活垃圾房，</w:t>
            </w:r>
            <w:r>
              <w:rPr>
                <w:rFonts w:hint="default" w:ascii="Times New Roman" w:hAnsi="Times New Roman" w:cs="Times New Roman"/>
                <w:color w:val="auto"/>
                <w:sz w:val="24"/>
                <w:szCs w:val="24"/>
                <w:highlight w:val="none"/>
                <w:lang w:val="en-US" w:eastAsia="zh-CN"/>
              </w:rPr>
              <w:t>生活垃圾</w:t>
            </w:r>
            <w:r>
              <w:rPr>
                <w:rFonts w:hint="eastAsia" w:cs="Times New Roman"/>
                <w:color w:val="auto"/>
                <w:sz w:val="24"/>
                <w:szCs w:val="24"/>
                <w:highlight w:val="none"/>
                <w:lang w:val="en-US" w:eastAsia="zh-CN"/>
              </w:rPr>
              <w:t>通过设置在院区的垃圾桶进行收集，</w:t>
            </w:r>
            <w:r>
              <w:rPr>
                <w:rFonts w:hint="default" w:ascii="Times New Roman" w:hAnsi="Times New Roman" w:cs="Times New Roman"/>
                <w:color w:val="auto"/>
                <w:sz w:val="24"/>
                <w:szCs w:val="24"/>
                <w:highlight w:val="none"/>
                <w:lang w:val="en-US" w:eastAsia="zh-CN"/>
              </w:rPr>
              <w:t>采用密闭塑料和塑料袋封装垃圾，垃圾日产日清。</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本项目在食堂内设置餐厨垃圾收集点，用于暂存餐厨垃圾，餐厨垃圾日产日清。</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项目设置</w:t>
            </w:r>
            <w:r>
              <w:rPr>
                <w:rFonts w:hint="default" w:ascii="Times New Roman" w:hAnsi="Times New Roman" w:cs="Times New Roman"/>
                <w:color w:val="auto"/>
                <w:sz w:val="24"/>
                <w:szCs w:val="24"/>
                <w:highlight w:val="none"/>
                <w:lang w:val="en-US" w:eastAsia="zh-CN"/>
              </w:rPr>
              <w:t>医疗废物暂存间主要存放医疗垃圾，应严格按照《医疗废物管理条例》（国务院令第380号）、《医疗卫生机构医疗废物管理办法》（卫生部令第36号）和《医疗废物集中处置技术规范（试行）》（环发〔2003〕206号）等规范要求进行建设和管理，每天定时消毒药剂，进行低温储存（储存温度应低于20℃），医疗废物通过专用容器及防漏胶袋密封，暂存时间最长不超过24h，并定期交由有医疗废物转运和处置资质的单位进行清运处置。</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）柴油发电机废气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项目所在地停电几率较小，故该发电机使用几率较小，发电机使用时间较短，且属于间断性排放，其废气通过设备自带的消烟除尘装置处理后排放，</w:t>
            </w:r>
            <w:r>
              <w:rPr>
                <w:rFonts w:hint="eastAsia" w:cs="Times New Roman"/>
                <w:color w:val="auto"/>
                <w:sz w:val="24"/>
                <w:szCs w:val="24"/>
                <w:highlight w:val="none"/>
                <w:lang w:val="en-US" w:eastAsia="zh-CN"/>
              </w:rPr>
              <w:t>能够实现达标排放，</w:t>
            </w:r>
            <w:r>
              <w:rPr>
                <w:rFonts w:hint="default" w:ascii="Times New Roman" w:hAnsi="Times New Roman" w:cs="Times New Roman"/>
                <w:color w:val="auto"/>
                <w:sz w:val="24"/>
                <w:szCs w:val="24"/>
                <w:highlight w:val="none"/>
                <w:lang w:val="en-US" w:eastAsia="zh-CN"/>
              </w:rPr>
              <w:t>对周围环境空气影响较小</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highlight w:val="none"/>
              </w:rPr>
              <w:t>食堂油烟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bCs/>
                <w:color w:val="auto"/>
                <w:sz w:val="24"/>
                <w:highlight w:val="none"/>
                <w:lang w:val="en-US" w:eastAsia="zh-CN"/>
              </w:rPr>
            </w:pPr>
            <w:r>
              <w:rPr>
                <w:rFonts w:hint="eastAsia" w:cs="Times New Roman"/>
                <w:bCs/>
                <w:color w:val="auto"/>
                <w:sz w:val="24"/>
                <w:highlight w:val="none"/>
                <w:lang w:val="en-US" w:eastAsia="zh-CN"/>
              </w:rPr>
              <w:t>本项目环评要求在</w:t>
            </w:r>
            <w:r>
              <w:rPr>
                <w:rFonts w:hint="default" w:ascii="Times New Roman" w:hAnsi="Times New Roman" w:cs="Times New Roman"/>
                <w:bCs/>
                <w:color w:val="auto"/>
                <w:sz w:val="24"/>
                <w:highlight w:val="none"/>
              </w:rPr>
              <w:t>食堂安装1套油烟净化器（净化效率85%，风量为1</w:t>
            </w:r>
            <w:r>
              <w:rPr>
                <w:rFonts w:hint="eastAsia" w:cs="Times New Roman"/>
                <w:bCs/>
                <w:color w:val="auto"/>
                <w:sz w:val="24"/>
                <w:highlight w:val="none"/>
                <w:lang w:val="en-US" w:eastAsia="zh-CN"/>
              </w:rPr>
              <w:t>0</w:t>
            </w:r>
            <w:r>
              <w:rPr>
                <w:rFonts w:hint="default" w:ascii="Times New Roman" w:hAnsi="Times New Roman" w:cs="Times New Roman"/>
                <w:bCs/>
                <w:color w:val="auto"/>
                <w:sz w:val="24"/>
                <w:highlight w:val="none"/>
              </w:rPr>
              <w:t>000m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/h），食堂油烟经处理后通过油烟管道引至</w:t>
            </w:r>
            <w:r>
              <w:rPr>
                <w:rFonts w:hint="eastAsia" w:cs="Times New Roman"/>
                <w:bCs/>
                <w:color w:val="auto"/>
                <w:sz w:val="24"/>
                <w:highlight w:val="none"/>
                <w:lang w:val="en-US" w:eastAsia="zh-CN"/>
              </w:rPr>
              <w:t>住院</w:t>
            </w:r>
            <w:r>
              <w:rPr>
                <w:rFonts w:hint="default" w:ascii="Times New Roman" w:hAnsi="Times New Roman" w:cs="Times New Roman"/>
                <w:bCs/>
                <w:color w:val="auto"/>
                <w:sz w:val="24"/>
                <w:highlight w:val="none"/>
              </w:rPr>
              <w:t>楼顶排放</w:t>
            </w:r>
            <w:r>
              <w:rPr>
                <w:rFonts w:hint="eastAsia" w:cs="Times New Roman"/>
                <w:bCs/>
                <w:color w:val="auto"/>
                <w:sz w:val="24"/>
                <w:highlight w:val="none"/>
                <w:lang w:eastAsia="zh-CN"/>
              </w:rPr>
              <w:t>，</w:t>
            </w:r>
            <w:r>
              <w:rPr>
                <w:rFonts w:hint="eastAsia" w:cs="Times New Roman"/>
                <w:bCs/>
                <w:color w:val="auto"/>
                <w:sz w:val="24"/>
                <w:highlight w:val="none"/>
                <w:lang w:val="en-US" w:eastAsia="zh-CN"/>
              </w:rPr>
              <w:t>油烟排放量为0.012t/a，排放速率为0.0106kg/h，排放浓度为1.06mg/m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，能够满足《饮食业油烟排放标准（试行）》（GB18483-2001）中2.0mg/m</w:t>
            </w:r>
            <w:r>
              <w:rPr>
                <w:rFonts w:hint="eastAsia" w:cs="Times New Roman"/>
                <w:bCs/>
                <w:color w:val="auto"/>
                <w:sz w:val="24"/>
                <w:highlight w:val="none"/>
                <w:vertAlign w:val="superscript"/>
                <w:lang w:val="en-US" w:eastAsia="zh-CN"/>
              </w:rPr>
              <w:t>3</w:t>
            </w:r>
            <w:r>
              <w:rPr>
                <w:rFonts w:hint="eastAsia" w:cs="Times New Roman"/>
                <w:bCs/>
                <w:color w:val="auto"/>
                <w:sz w:val="24"/>
                <w:highlight w:val="none"/>
                <w:lang w:val="en-US" w:eastAsia="zh-CN"/>
              </w:rPr>
              <w:t>的标准限值要求，实现达标排放</w:t>
            </w:r>
            <w:r>
              <w:rPr>
                <w:rFonts w:hint="default" w:ascii="Times New Roman" w:hAnsi="Times New Roman" w:cs="Times New Roman"/>
                <w:bCs/>
                <w:color w:val="auto"/>
                <w:sz w:val="24"/>
                <w:highlight w:val="none"/>
              </w:rPr>
              <w:t>。油烟排放口距离周边最近敏感点（</w:t>
            </w:r>
            <w:r>
              <w:rPr>
                <w:rFonts w:hint="eastAsia" w:cs="Times New Roman"/>
                <w:bCs/>
                <w:color w:val="auto"/>
                <w:sz w:val="24"/>
                <w:highlight w:val="none"/>
                <w:lang w:val="en-US" w:eastAsia="zh-CN"/>
              </w:rPr>
              <w:t>西</w:t>
            </w:r>
            <w:r>
              <w:rPr>
                <w:rFonts w:hint="default" w:ascii="Times New Roman" w:hAnsi="Times New Roman" w:cs="Times New Roman"/>
                <w:bCs/>
                <w:color w:val="auto"/>
                <w:sz w:val="24"/>
                <w:highlight w:val="none"/>
              </w:rPr>
              <w:t>侧商住楼）约</w:t>
            </w:r>
            <w:r>
              <w:rPr>
                <w:rFonts w:hint="eastAsia" w:cs="Times New Roman"/>
                <w:bCs/>
                <w:color w:val="auto"/>
                <w:sz w:val="24"/>
                <w:highlight w:val="none"/>
                <w:lang w:val="en-US" w:eastAsia="zh-CN"/>
              </w:rPr>
              <w:t>22</w:t>
            </w:r>
            <w:r>
              <w:rPr>
                <w:rFonts w:hint="default" w:ascii="Times New Roman" w:hAnsi="Times New Roman" w:cs="Times New Roman"/>
                <w:bCs/>
                <w:color w:val="auto"/>
                <w:sz w:val="24"/>
                <w:highlight w:val="none"/>
              </w:rPr>
              <w:t xml:space="preserve">m，满足《饮食业环境保护技术规范》（HJ554-2010）中“经油烟净化后的油烟排放口与周边环境敏感目标距离不应小于20m”的相关要求，食堂排放口设置合理可行。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（6）一体化污水处理设施恶臭</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color w:val="auto"/>
                <w:sz w:val="24"/>
                <w:highlight w:val="none"/>
                <w:lang w:val="en-US" w:eastAsia="zh-CN"/>
              </w:rPr>
            </w:pPr>
            <w:r>
              <w:rPr>
                <w:rFonts w:hint="eastAsia"/>
                <w:bCs/>
                <w:color w:val="auto"/>
                <w:sz w:val="24"/>
                <w:highlight w:val="none"/>
                <w:lang w:val="en-US" w:eastAsia="zh-CN"/>
              </w:rPr>
              <w:t>项目一体化污水处理设施位于住院楼-1F，</w:t>
            </w:r>
            <w:r>
              <w:rPr>
                <w:rFonts w:hint="eastAsia"/>
                <w:color w:val="auto"/>
                <w:sz w:val="24"/>
                <w:highlight w:val="none"/>
              </w:rPr>
              <w:t>采用“A</w:t>
            </w:r>
            <w:r>
              <w:rPr>
                <w:color w:val="auto"/>
                <w:sz w:val="24"/>
                <w:highlight w:val="none"/>
              </w:rPr>
              <w:t>/O+</w:t>
            </w:r>
            <w:r>
              <w:rPr>
                <w:rFonts w:hint="eastAsia"/>
                <w:color w:val="auto"/>
                <w:sz w:val="24"/>
                <w:highlight w:val="none"/>
              </w:rPr>
              <w:t>沉淀+消毒”工艺，</w:t>
            </w:r>
            <w:r>
              <w:rPr>
                <w:rFonts w:hint="eastAsia"/>
                <w:color w:val="auto"/>
                <w:sz w:val="24"/>
                <w:highlight w:val="none"/>
                <w:lang w:val="en-US" w:eastAsia="zh-CN"/>
              </w:rPr>
              <w:t>产生的恶臭气体通过在设施周边投加除臭剂、定期消毒等措施来降低恶臭对周边环境影响。通过投加除臭剂、定期消毒等措施，恶臭去除效率按60%计，则的</w:t>
            </w:r>
            <w:r>
              <w:rPr>
                <w:rFonts w:hint="eastAsia" w:cs="Times New Roman"/>
                <w:color w:val="auto"/>
                <w:sz w:val="24"/>
                <w:szCs w:val="24"/>
                <w:highlight w:val="none"/>
                <w:lang w:val="en-US" w:eastAsia="zh-CN"/>
              </w:rPr>
              <w:t>NH</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、H</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S无组织排放排放量及排放速率分别为1.646kg/a（0.000188kg/h）、0.064kg/a（0.000007kg/h）。</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lang w:val="en-US" w:eastAsia="zh-CN"/>
              </w:rPr>
              <w:t>汽车尾气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汽车尾气产生量较小，通过自然扩散，对环境影响较小。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综上所述，</w:t>
            </w:r>
            <w:r>
              <w:rPr>
                <w:rFonts w:hint="default" w:ascii="Times New Roman" w:hAnsi="Times New Roman" w:cs="Times New Roman"/>
                <w:color w:val="auto"/>
                <w:sz w:val="24"/>
                <w:szCs w:val="24"/>
                <w:highlight w:val="none"/>
                <w:lang w:val="en-US" w:eastAsia="zh-CN"/>
              </w:rPr>
              <w:t>本项目废气治理措施和排放情况如下表4-</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p>
          <w:p>
            <w:pPr>
              <w:keepNext w:val="0"/>
              <w:keepLines w:val="0"/>
              <w:pageBreakBefore w:val="0"/>
              <w:wordWrap/>
              <w:topLinePunct w:val="0"/>
              <w:bidi w:val="0"/>
              <w:snapToGrid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1</w:t>
            </w:r>
            <w:r>
              <w:rPr>
                <w:rFonts w:hint="default" w:ascii="Times New Roman" w:hAnsi="Times New Roman" w:eastAsia="黑体" w:cs="Times New Roman"/>
                <w:color w:val="auto"/>
                <w:szCs w:val="21"/>
                <w:highlight w:val="none"/>
              </w:rPr>
              <w:t xml:space="preserve"> 废气治理</w:t>
            </w:r>
            <w:r>
              <w:rPr>
                <w:rFonts w:hint="default" w:ascii="Times New Roman" w:hAnsi="Times New Roman" w:eastAsia="黑体" w:cs="Times New Roman"/>
                <w:color w:val="auto"/>
                <w:szCs w:val="21"/>
                <w:highlight w:val="none"/>
                <w:lang w:val="en-US" w:eastAsia="zh-CN"/>
              </w:rPr>
              <w:t>措施</w:t>
            </w:r>
            <w:r>
              <w:rPr>
                <w:rFonts w:hint="default" w:ascii="Times New Roman" w:hAnsi="Times New Roman" w:eastAsia="黑体" w:cs="Times New Roman"/>
                <w:color w:val="auto"/>
                <w:szCs w:val="21"/>
                <w:highlight w:val="none"/>
              </w:rPr>
              <w:t>、排放形式一览表</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290"/>
              <w:gridCol w:w="882"/>
              <w:gridCol w:w="3548"/>
              <w:gridCol w:w="668"/>
              <w:gridCol w:w="641"/>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废气类型</w:t>
                  </w:r>
                </w:p>
              </w:tc>
              <w:tc>
                <w:tcPr>
                  <w:tcW w:w="1290" w:type="dxa"/>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污染物种类</w:t>
                  </w:r>
                </w:p>
              </w:tc>
              <w:tc>
                <w:tcPr>
                  <w:tcW w:w="882" w:type="dxa"/>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w:t>
                  </w:r>
                </w:p>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形式</w:t>
                  </w:r>
                </w:p>
              </w:tc>
              <w:tc>
                <w:tcPr>
                  <w:tcW w:w="5927" w:type="dxa"/>
                  <w:gridSpan w:val="4"/>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p>
              </w:tc>
              <w:tc>
                <w:tcPr>
                  <w:tcW w:w="1290" w:type="dxa"/>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p>
              </w:tc>
              <w:tc>
                <w:tcPr>
                  <w:tcW w:w="882" w:type="dxa"/>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治理设施名称及工艺</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收集效率</w:t>
                  </w:r>
                </w:p>
              </w:tc>
              <w:tc>
                <w:tcPr>
                  <w:tcW w:w="641"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去除率</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病区含菌空气</w:t>
                  </w:r>
                </w:p>
              </w:tc>
              <w:tc>
                <w:tcPr>
                  <w:tcW w:w="129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含菌空气</w:t>
                  </w:r>
                </w:p>
              </w:tc>
              <w:tc>
                <w:tcPr>
                  <w:tcW w:w="882"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w:t>
                  </w: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拟对病房区、走廊、各科诊室和实验区等</w:t>
                  </w:r>
                  <w:r>
                    <w:rPr>
                      <w:rFonts w:hint="eastAsia"/>
                      <w:color w:val="auto"/>
                      <w:szCs w:val="21"/>
                      <w:highlight w:val="none"/>
                      <w:lang w:val="en-US" w:eastAsia="zh-CN"/>
                    </w:rPr>
                    <w:t>区域</w:t>
                  </w:r>
                  <w:r>
                    <w:rPr>
                      <w:rFonts w:hint="eastAsia"/>
                      <w:color w:val="auto"/>
                      <w:szCs w:val="21"/>
                      <w:highlight w:val="none"/>
                    </w:rPr>
                    <w:t>定期消毒处理，</w:t>
                  </w:r>
                  <w:r>
                    <w:rPr>
                      <w:rFonts w:hint="default" w:ascii="Times New Roman" w:hAnsi="Times New Roman" w:cs="Times New Roman"/>
                      <w:color w:val="auto"/>
                      <w:szCs w:val="21"/>
                      <w:highlight w:val="none"/>
                    </w:rPr>
                    <w:t>同时对住院病房区、手术室、</w:t>
                  </w:r>
                  <w:r>
                    <w:rPr>
                      <w:rFonts w:hint="default" w:ascii="Times New Roman" w:hAnsi="Times New Roman" w:cs="Times New Roman"/>
                      <w:color w:val="auto"/>
                      <w:szCs w:val="21"/>
                      <w:highlight w:val="none"/>
                      <w:lang w:val="en-US" w:eastAsia="zh-CN"/>
                    </w:rPr>
                    <w:t>实验区</w:t>
                  </w:r>
                  <w:r>
                    <w:rPr>
                      <w:rFonts w:hint="default" w:ascii="Times New Roman" w:hAnsi="Times New Roman" w:cs="Times New Roman"/>
                      <w:color w:val="auto"/>
                      <w:szCs w:val="21"/>
                      <w:highlight w:val="none"/>
                    </w:rPr>
                    <w:t>等设置独立的通风系统</w:t>
                  </w:r>
                  <w:r>
                    <w:rPr>
                      <w:rFonts w:hint="eastAsia"/>
                      <w:color w:val="auto"/>
                      <w:szCs w:val="21"/>
                      <w:highlight w:val="none"/>
                      <w:lang w:val="en-US" w:eastAsia="zh-CN"/>
                    </w:rPr>
                    <w:t>，并加装紫外线灯并加装紫外线灯或等离子空气净化消毒机进行消毒灭菌</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641"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含病原微生物气溶胶废气</w:t>
                  </w:r>
                </w:p>
              </w:tc>
              <w:tc>
                <w:tcPr>
                  <w:tcW w:w="129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含菌空气</w:t>
                  </w:r>
                </w:p>
              </w:tc>
              <w:tc>
                <w:tcPr>
                  <w:tcW w:w="882"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无组织</w:t>
                  </w: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微生物实验室废气经“A2型生物安全柜+新风系统高效过滤器+紫外灯”消毒灭菌处理后由引风机从楼侧排处室外，同时在微生物实验室、无菌室、药剂准备室、标本制备室、扩增分析室各配置1台可移动紫外线灯</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99.995%</w:t>
                  </w:r>
                </w:p>
              </w:tc>
              <w:tc>
                <w:tcPr>
                  <w:tcW w:w="641"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99</w:t>
                  </w:r>
                  <w:r>
                    <w:rPr>
                      <w:rFonts w:hint="default" w:ascii="Times New Roman" w:hAnsi="Times New Roman" w:eastAsia="宋体" w:cs="Times New Roman"/>
                      <w:color w:val="auto"/>
                      <w:szCs w:val="21"/>
                      <w:highlight w:val="none"/>
                      <w:lang w:eastAsia="zh-CN"/>
                    </w:rPr>
                    <w:t>%</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垃圾</w:t>
                  </w:r>
                  <w:r>
                    <w:rPr>
                      <w:rFonts w:hint="default" w:ascii="Times New Roman" w:hAnsi="Times New Roman" w:eastAsia="宋体" w:cs="Times New Roman"/>
                      <w:color w:val="auto"/>
                      <w:kern w:val="2"/>
                      <w:sz w:val="21"/>
                      <w:szCs w:val="21"/>
                      <w:highlight w:val="none"/>
                      <w:lang w:val="en-US" w:eastAsia="zh-CN" w:bidi="ar-SA"/>
                    </w:rPr>
                    <w:t>恶臭</w:t>
                  </w:r>
                </w:p>
              </w:tc>
              <w:tc>
                <w:tcPr>
                  <w:tcW w:w="129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恶臭</w:t>
                  </w:r>
                </w:p>
              </w:tc>
              <w:tc>
                <w:tcPr>
                  <w:tcW w:w="882"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无组织</w:t>
                  </w: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日产日清，定期</w:t>
                  </w:r>
                  <w:r>
                    <w:rPr>
                      <w:rFonts w:hint="default" w:ascii="Times New Roman" w:hAnsi="Times New Roman" w:cs="Times New Roman"/>
                      <w:color w:val="auto"/>
                      <w:szCs w:val="21"/>
                      <w:highlight w:val="none"/>
                      <w:lang w:val="en-US" w:eastAsia="zh-CN"/>
                    </w:rPr>
                    <w:t>清洁、</w:t>
                  </w:r>
                  <w:r>
                    <w:rPr>
                      <w:rFonts w:hint="default" w:ascii="Times New Roman" w:hAnsi="Times New Roman" w:cs="Times New Roman"/>
                      <w:color w:val="auto"/>
                      <w:szCs w:val="21"/>
                      <w:highlight w:val="none"/>
                    </w:rPr>
                    <w:t>消毒</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41"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柴油发电机废气</w:t>
                  </w:r>
                </w:p>
              </w:tc>
              <w:tc>
                <w:tcPr>
                  <w:tcW w:w="129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烟尘</w:t>
                  </w:r>
                  <w:r>
                    <w:rPr>
                      <w:rFonts w:hint="eastAsia"/>
                      <w:color w:val="auto"/>
                      <w:szCs w:val="21"/>
                      <w:highlight w:val="none"/>
                      <w:lang w:eastAsia="zh-CN"/>
                    </w:rPr>
                    <w:t>、</w:t>
                  </w:r>
                  <w:r>
                    <w:rPr>
                      <w:color w:val="auto"/>
                      <w:szCs w:val="21"/>
                      <w:highlight w:val="none"/>
                    </w:rPr>
                    <w:t>SO</w:t>
                  </w:r>
                  <w:r>
                    <w:rPr>
                      <w:color w:val="auto"/>
                      <w:szCs w:val="21"/>
                      <w:highlight w:val="none"/>
                      <w:vertAlign w:val="subscript"/>
                    </w:rPr>
                    <w:t>2</w:t>
                  </w:r>
                  <w:r>
                    <w:rPr>
                      <w:rFonts w:hint="eastAsia"/>
                      <w:color w:val="auto"/>
                      <w:szCs w:val="21"/>
                      <w:highlight w:val="none"/>
                      <w:lang w:eastAsia="zh-CN"/>
                    </w:rPr>
                    <w:t>、</w:t>
                  </w:r>
                  <w:r>
                    <w:rPr>
                      <w:color w:val="auto"/>
                      <w:szCs w:val="21"/>
                      <w:highlight w:val="none"/>
                    </w:rPr>
                    <w:t>NOx</w:t>
                  </w:r>
                  <w:r>
                    <w:rPr>
                      <w:rFonts w:hint="eastAsia"/>
                      <w:color w:val="auto"/>
                      <w:szCs w:val="21"/>
                      <w:highlight w:val="none"/>
                      <w:lang w:val="en-US" w:eastAsia="zh-CN"/>
                    </w:rPr>
                    <w:t>等</w:t>
                  </w:r>
                </w:p>
              </w:tc>
              <w:tc>
                <w:tcPr>
                  <w:tcW w:w="882" w:type="dxa"/>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无组织</w:t>
                  </w: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通过设备自带的消烟除尘装置处理后排放</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41"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食堂油烟</w:t>
                  </w:r>
                </w:p>
              </w:tc>
              <w:tc>
                <w:tcPr>
                  <w:tcW w:w="129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油烟</w:t>
                  </w:r>
                </w:p>
              </w:tc>
              <w:tc>
                <w:tcPr>
                  <w:tcW w:w="882"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有</w:t>
                  </w:r>
                  <w:r>
                    <w:rPr>
                      <w:rFonts w:hint="default" w:ascii="Times New Roman" w:hAnsi="Times New Roman" w:cs="Times New Roman"/>
                      <w:color w:val="auto"/>
                      <w:szCs w:val="21"/>
                      <w:highlight w:val="none"/>
                    </w:rPr>
                    <w:t>组织</w:t>
                  </w: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经</w:t>
                  </w:r>
                  <w:r>
                    <w:rPr>
                      <w:rFonts w:hint="default" w:ascii="Times New Roman" w:hAnsi="Times New Roman" w:cs="Times New Roman"/>
                      <w:color w:val="auto"/>
                      <w:szCs w:val="21"/>
                      <w:highlight w:val="none"/>
                    </w:rPr>
                    <w:t>油烟净化器</w:t>
                  </w:r>
                  <w:r>
                    <w:rPr>
                      <w:rFonts w:hint="eastAsia" w:cs="Times New Roman"/>
                      <w:color w:val="auto"/>
                      <w:szCs w:val="21"/>
                      <w:highlight w:val="none"/>
                      <w:lang w:val="en-US" w:eastAsia="zh-CN"/>
                    </w:rPr>
                    <w:t>处理后通过专用</w:t>
                  </w:r>
                  <w:r>
                    <w:rPr>
                      <w:rFonts w:hint="default" w:ascii="Times New Roman" w:hAnsi="Times New Roman" w:cs="Times New Roman"/>
                      <w:color w:val="auto"/>
                      <w:szCs w:val="21"/>
                      <w:highlight w:val="none"/>
                    </w:rPr>
                    <w:t>烟道引至</w:t>
                  </w:r>
                  <w:r>
                    <w:rPr>
                      <w:rFonts w:hint="eastAsia" w:cs="Times New Roman"/>
                      <w:color w:val="auto"/>
                      <w:szCs w:val="21"/>
                      <w:highlight w:val="none"/>
                      <w:lang w:val="en-US" w:eastAsia="zh-CN"/>
                    </w:rPr>
                    <w:t>住院</w:t>
                  </w:r>
                  <w:r>
                    <w:rPr>
                      <w:rFonts w:hint="default" w:ascii="Times New Roman" w:hAnsi="Times New Roman" w:cs="Times New Roman"/>
                      <w:color w:val="auto"/>
                      <w:szCs w:val="21"/>
                      <w:highlight w:val="none"/>
                    </w:rPr>
                    <w:t>楼顶排放</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41" w:type="dxa"/>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≥85</w:t>
                  </w:r>
                  <w:r>
                    <w:rPr>
                      <w:rFonts w:hint="eastAsia" w:cs="Times New Roman"/>
                      <w:color w:val="auto"/>
                      <w:szCs w:val="21"/>
                      <w:highlight w:val="none"/>
                      <w:lang w:val="en-US" w:eastAsia="zh-CN"/>
                    </w:rPr>
                    <w:t>%</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eastAsia="zh-CN"/>
                    </w:rPr>
                    <w:t>一体化污水处理设施</w:t>
                  </w:r>
                  <w:r>
                    <w:rPr>
                      <w:rFonts w:hint="default" w:ascii="Times New Roman" w:hAnsi="Times New Roman" w:cs="Times New Roman"/>
                      <w:color w:val="auto"/>
                      <w:szCs w:val="21"/>
                      <w:highlight w:val="none"/>
                    </w:rPr>
                    <w:t>恶臭</w:t>
                  </w:r>
                </w:p>
              </w:tc>
              <w:tc>
                <w:tcPr>
                  <w:tcW w:w="1290" w:type="dxa"/>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p>
              </w:tc>
              <w:tc>
                <w:tcPr>
                  <w:tcW w:w="882"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无组织</w:t>
                  </w: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在设施周边投加除臭剂、定期消毒</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641"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r>
                    <w:rPr>
                      <w:rFonts w:hint="eastAsia" w:cs="Times New Roman"/>
                      <w:color w:val="auto"/>
                      <w:szCs w:val="21"/>
                      <w:highlight w:val="none"/>
                      <w:lang w:val="en-US" w:eastAsia="zh-CN"/>
                    </w:rPr>
                    <w:t>%</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汽车尾气</w:t>
                  </w:r>
                </w:p>
              </w:tc>
              <w:tc>
                <w:tcPr>
                  <w:tcW w:w="129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 xml:space="preserve">HC、CO等 </w:t>
                  </w:r>
                </w:p>
              </w:tc>
              <w:tc>
                <w:tcPr>
                  <w:tcW w:w="882"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无组织</w:t>
                  </w:r>
                </w:p>
              </w:tc>
              <w:tc>
                <w:tcPr>
                  <w:tcW w:w="354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产生量较小，自然扩散</w:t>
                  </w:r>
                </w:p>
              </w:tc>
              <w:tc>
                <w:tcPr>
                  <w:tcW w:w="668"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641"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1070" w:type="dxa"/>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是</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3、污染物排放信息</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本项目污染物排放信息如下表所示。</w:t>
            </w:r>
          </w:p>
          <w:p>
            <w:pPr>
              <w:keepNext w:val="0"/>
              <w:keepLines w:val="0"/>
              <w:pageBreakBefore w:val="0"/>
              <w:wordWrap/>
              <w:topLinePunct w:val="0"/>
              <w:bidi w:val="0"/>
              <w:snapToGrid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 xml:space="preserve"> 废气污染物排放信息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675"/>
              <w:gridCol w:w="615"/>
              <w:gridCol w:w="645"/>
              <w:gridCol w:w="2580"/>
              <w:gridCol w:w="660"/>
              <w:gridCol w:w="675"/>
              <w:gridCol w:w="660"/>
              <w:gridCol w:w="705"/>
              <w:gridCol w:w="42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Merge w:val="restar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污染源</w:t>
                  </w:r>
                </w:p>
              </w:tc>
              <w:tc>
                <w:tcPr>
                  <w:tcW w:w="372" w:type="pct"/>
                  <w:vMerge w:val="restar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污染物</w:t>
                  </w:r>
                </w:p>
              </w:tc>
              <w:tc>
                <w:tcPr>
                  <w:tcW w:w="339" w:type="pct"/>
                  <w:vMerge w:val="restar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产生量</w:t>
                  </w:r>
                  <w:r>
                    <w:rPr>
                      <w:rFonts w:hint="default" w:ascii="Times New Roman" w:hAnsi="Times New Roman" w:cs="Times New Roman"/>
                      <w:b/>
                      <w:bCs/>
                      <w:color w:val="auto"/>
                      <w:sz w:val="21"/>
                      <w:szCs w:val="21"/>
                      <w:highlight w:val="none"/>
                      <w:lang w:val="en-US" w:eastAsia="zh-CN"/>
                    </w:rPr>
                    <w:t>kg</w:t>
                  </w:r>
                  <w:r>
                    <w:rPr>
                      <w:rFonts w:hint="default" w:ascii="Times New Roman" w:hAnsi="Times New Roman" w:cs="Times New Roman"/>
                      <w:b/>
                      <w:bCs/>
                      <w:color w:val="auto"/>
                      <w:sz w:val="21"/>
                      <w:szCs w:val="21"/>
                      <w:highlight w:val="none"/>
                    </w:rPr>
                    <w:t>/a</w:t>
                  </w:r>
                </w:p>
              </w:tc>
              <w:tc>
                <w:tcPr>
                  <w:tcW w:w="2143" w:type="pct"/>
                  <w:gridSpan w:val="3"/>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治理措施</w:t>
                  </w:r>
                </w:p>
              </w:tc>
              <w:tc>
                <w:tcPr>
                  <w:tcW w:w="1125" w:type="pct"/>
                  <w:gridSpan w:val="3"/>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污染物排放</w:t>
                  </w:r>
                </w:p>
              </w:tc>
              <w:tc>
                <w:tcPr>
                  <w:tcW w:w="231" w:type="pct"/>
                  <w:vMerge w:val="restar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排放方式</w:t>
                  </w:r>
                </w:p>
              </w:tc>
              <w:tc>
                <w:tcPr>
                  <w:tcW w:w="369" w:type="pct"/>
                  <w:vMerge w:val="restar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排放标准</w:t>
                  </w:r>
                  <w:r>
                    <w:rPr>
                      <w:b/>
                      <w:bCs/>
                      <w:color w:val="auto"/>
                      <w:sz w:val="21"/>
                      <w:szCs w:val="21"/>
                      <w:highlight w:val="none"/>
                    </w:rPr>
                    <w:t>mg/m</w:t>
                  </w:r>
                  <w:r>
                    <w:rPr>
                      <w:b/>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p>
              </w:tc>
              <w:tc>
                <w:tcPr>
                  <w:tcW w:w="372"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p>
              </w:tc>
              <w:tc>
                <w:tcPr>
                  <w:tcW w:w="339"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p>
              </w:tc>
              <w:tc>
                <w:tcPr>
                  <w:tcW w:w="355"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收集效率</w:t>
                  </w:r>
                  <w:r>
                    <w:rPr>
                      <w:rFonts w:hint="eastAsia" w:cs="Times New Roman"/>
                      <w:b/>
                      <w:bCs/>
                      <w:color w:val="auto"/>
                      <w:sz w:val="21"/>
                      <w:szCs w:val="21"/>
                      <w:highlight w:val="none"/>
                      <w:lang w:val="en-US" w:eastAsia="zh-CN"/>
                    </w:rPr>
                    <w:t>%</w:t>
                  </w:r>
                </w:p>
              </w:tc>
              <w:tc>
                <w:tcPr>
                  <w:tcW w:w="1423"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处理措施</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处理效率</w:t>
                  </w:r>
                  <w:r>
                    <w:rPr>
                      <w:rFonts w:hint="eastAsia" w:cs="Times New Roman"/>
                      <w:b/>
                      <w:bCs/>
                      <w:color w:val="auto"/>
                      <w:sz w:val="21"/>
                      <w:szCs w:val="21"/>
                      <w:highlight w:val="none"/>
                      <w:lang w:val="en-US" w:eastAsia="zh-CN"/>
                    </w:rPr>
                    <w:t>%</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排放量</w:t>
                  </w:r>
                  <w:r>
                    <w:rPr>
                      <w:rFonts w:hint="default" w:ascii="Times New Roman" w:hAnsi="Times New Roman" w:cs="Times New Roman"/>
                      <w:b/>
                      <w:bCs/>
                      <w:color w:val="auto"/>
                      <w:sz w:val="21"/>
                      <w:szCs w:val="21"/>
                      <w:highlight w:val="none"/>
                      <w:lang w:val="en-US" w:eastAsia="zh-CN"/>
                    </w:rPr>
                    <w:t>kg</w:t>
                  </w:r>
                  <w:r>
                    <w:rPr>
                      <w:rFonts w:hint="default" w:ascii="Times New Roman" w:hAnsi="Times New Roman" w:cs="Times New Roman"/>
                      <w:b/>
                      <w:bCs/>
                      <w:color w:val="auto"/>
                      <w:sz w:val="21"/>
                      <w:szCs w:val="21"/>
                      <w:highlight w:val="none"/>
                    </w:rPr>
                    <w:t>/a</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排放速率kg/h</w:t>
                  </w:r>
                </w:p>
              </w:tc>
              <w:tc>
                <w:tcPr>
                  <w:tcW w:w="388"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c>
              <w:tc>
                <w:tcPr>
                  <w:tcW w:w="231"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p>
              </w:tc>
              <w:tc>
                <w:tcPr>
                  <w:tcW w:w="369"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病区含菌空气</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含菌空气</w:t>
                  </w:r>
                </w:p>
              </w:tc>
              <w:tc>
                <w:tcPr>
                  <w:tcW w:w="33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55"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423"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病房区、走廊、</w:t>
                  </w:r>
                  <w:r>
                    <w:rPr>
                      <w:rFonts w:hint="default" w:ascii="Times New Roman" w:hAnsi="Times New Roman" w:eastAsia="宋体" w:cs="Times New Roman"/>
                      <w:color w:val="auto"/>
                      <w:sz w:val="21"/>
                      <w:szCs w:val="21"/>
                      <w:highlight w:val="none"/>
                    </w:rPr>
                    <w:t>各科诊室</w:t>
                  </w:r>
                  <w:r>
                    <w:rPr>
                      <w:rFonts w:hint="default" w:ascii="Times New Roman" w:hAnsi="Times New Roman" w:eastAsia="宋体" w:cs="Times New Roman"/>
                      <w:color w:val="auto"/>
                      <w:sz w:val="21"/>
                      <w:szCs w:val="21"/>
                      <w:highlight w:val="none"/>
                      <w:lang w:val="en-US" w:eastAsia="zh-CN"/>
                    </w:rPr>
                    <w:t>和检验科等区域</w:t>
                  </w:r>
                  <w:r>
                    <w:rPr>
                      <w:rFonts w:hint="default" w:ascii="Times New Roman" w:hAnsi="Times New Roman" w:eastAsia="宋体" w:cs="Times New Roman"/>
                      <w:color w:val="auto"/>
                      <w:sz w:val="21"/>
                      <w:szCs w:val="21"/>
                      <w:highlight w:val="none"/>
                    </w:rPr>
                    <w:t>定期消毒处理，同时对住院病房区、</w:t>
                  </w:r>
                  <w:r>
                    <w:rPr>
                      <w:rFonts w:hint="default" w:ascii="Times New Roman" w:hAnsi="Times New Roman" w:cs="Times New Roman"/>
                      <w:color w:val="auto"/>
                      <w:szCs w:val="21"/>
                      <w:highlight w:val="none"/>
                    </w:rPr>
                    <w:t>手术室、</w:t>
                  </w:r>
                  <w:r>
                    <w:rPr>
                      <w:rFonts w:hint="default" w:ascii="Times New Roman" w:hAnsi="Times New Roman" w:cs="Times New Roman"/>
                      <w:color w:val="auto"/>
                      <w:szCs w:val="21"/>
                      <w:highlight w:val="none"/>
                      <w:lang w:val="en-US" w:eastAsia="zh-CN"/>
                    </w:rPr>
                    <w:t>实验区</w:t>
                  </w:r>
                  <w:r>
                    <w:rPr>
                      <w:rFonts w:hint="default" w:ascii="Times New Roman" w:hAnsi="Times New Roman" w:eastAsia="宋体" w:cs="Times New Roman"/>
                      <w:color w:val="auto"/>
                      <w:sz w:val="21"/>
                      <w:szCs w:val="21"/>
                      <w:highlight w:val="none"/>
                    </w:rPr>
                    <w:t>等设置独立的通风系统，</w:t>
                  </w:r>
                  <w:r>
                    <w:rPr>
                      <w:rFonts w:hint="default" w:ascii="Times New Roman" w:hAnsi="Times New Roman" w:eastAsia="宋体" w:cs="Times New Roman"/>
                      <w:color w:val="auto"/>
                      <w:sz w:val="21"/>
                      <w:szCs w:val="21"/>
                      <w:highlight w:val="none"/>
                      <w:lang w:val="en-US" w:eastAsia="zh-CN"/>
                    </w:rPr>
                    <w:t>并加装紫外线灯或等离子空气净化消毒机进行消毒灭菌</w:t>
                  </w:r>
                </w:p>
              </w:tc>
              <w:tc>
                <w:tcPr>
                  <w:tcW w:w="364"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72"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64"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88"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31"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6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含病原微生物气溶胶废气</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含菌空气</w:t>
                  </w:r>
                </w:p>
              </w:tc>
              <w:tc>
                <w:tcPr>
                  <w:tcW w:w="339"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55"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99.995</w:t>
                  </w:r>
                </w:p>
              </w:tc>
              <w:tc>
                <w:tcPr>
                  <w:tcW w:w="1423"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微生物实验室废气经“A2型生物安全柜+新风系统高效过滤器+紫外灯”消毒灭菌处理后由引风机从楼侧排处室外，同时在微生物实验室、无菌室、药剂准备室、标本制备室、扩增分析室各配置1台可移动紫外线灯</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99</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88"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31"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6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垃圾</w:t>
                  </w:r>
                  <w:r>
                    <w:rPr>
                      <w:rFonts w:hint="default" w:ascii="Times New Roman" w:hAnsi="Times New Roman" w:eastAsia="宋体" w:cs="Times New Roman"/>
                      <w:color w:val="auto"/>
                      <w:kern w:val="2"/>
                      <w:sz w:val="21"/>
                      <w:szCs w:val="21"/>
                      <w:highlight w:val="none"/>
                      <w:lang w:val="en-US" w:eastAsia="zh-CN" w:bidi="ar-SA"/>
                    </w:rPr>
                    <w:t>恶臭</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恶臭</w:t>
                  </w:r>
                </w:p>
              </w:tc>
              <w:tc>
                <w:tcPr>
                  <w:tcW w:w="33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55"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423"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日产日清，定期</w:t>
                  </w:r>
                  <w:r>
                    <w:rPr>
                      <w:rFonts w:hint="default" w:ascii="Times New Roman" w:hAnsi="Times New Roman" w:cs="Times New Roman"/>
                      <w:color w:val="auto"/>
                      <w:sz w:val="21"/>
                      <w:szCs w:val="21"/>
                      <w:highlight w:val="none"/>
                      <w:lang w:val="en-US" w:eastAsia="zh-CN"/>
                    </w:rPr>
                    <w:t>清洁、</w:t>
                  </w:r>
                  <w:r>
                    <w:rPr>
                      <w:rFonts w:hint="default" w:ascii="Times New Roman" w:hAnsi="Times New Roman" w:cs="Times New Roman"/>
                      <w:color w:val="auto"/>
                      <w:sz w:val="21"/>
                      <w:szCs w:val="21"/>
                      <w:highlight w:val="none"/>
                    </w:rPr>
                    <w:t>消毒</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88"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31"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69"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柴油发电机废气</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烟尘</w:t>
                  </w:r>
                  <w:r>
                    <w:rPr>
                      <w:rFonts w:hint="eastAsia"/>
                      <w:color w:val="auto"/>
                      <w:sz w:val="21"/>
                      <w:szCs w:val="21"/>
                      <w:highlight w:val="none"/>
                      <w:lang w:eastAsia="zh-CN"/>
                    </w:rPr>
                    <w:t>、</w:t>
                  </w:r>
                  <w:r>
                    <w:rPr>
                      <w:color w:val="auto"/>
                      <w:sz w:val="21"/>
                      <w:szCs w:val="21"/>
                      <w:highlight w:val="none"/>
                    </w:rPr>
                    <w:t>SO</w:t>
                  </w:r>
                  <w:r>
                    <w:rPr>
                      <w:color w:val="auto"/>
                      <w:sz w:val="21"/>
                      <w:szCs w:val="21"/>
                      <w:highlight w:val="none"/>
                      <w:vertAlign w:val="subscript"/>
                    </w:rPr>
                    <w:t>2</w:t>
                  </w:r>
                  <w:r>
                    <w:rPr>
                      <w:rFonts w:hint="eastAsia"/>
                      <w:color w:val="auto"/>
                      <w:sz w:val="21"/>
                      <w:szCs w:val="21"/>
                      <w:highlight w:val="none"/>
                      <w:lang w:eastAsia="zh-CN"/>
                    </w:rPr>
                    <w:t>、</w:t>
                  </w:r>
                  <w:r>
                    <w:rPr>
                      <w:color w:val="auto"/>
                      <w:sz w:val="21"/>
                      <w:szCs w:val="21"/>
                      <w:highlight w:val="none"/>
                    </w:rPr>
                    <w:t>NOx</w:t>
                  </w:r>
                </w:p>
              </w:tc>
              <w:tc>
                <w:tcPr>
                  <w:tcW w:w="33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55"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423"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通过设备自带的消烟除尘装置处理后排放</w:t>
                  </w:r>
                </w:p>
              </w:tc>
              <w:tc>
                <w:tcPr>
                  <w:tcW w:w="364" w:type="pct"/>
                  <w:vAlign w:val="center"/>
                </w:tcPr>
                <w:p>
                  <w:pPr>
                    <w:keepNext w:val="0"/>
                    <w:keepLines w:val="0"/>
                    <w:pageBreakBefore w:val="0"/>
                    <w:wordWrap/>
                    <w:topLinePunct w:val="0"/>
                    <w:bidi w:val="0"/>
                    <w:spacing w:line="240" w:lineRule="auto"/>
                    <w:ind w:left="0" w:lef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72" w:type="pct"/>
                  <w:vAlign w:val="center"/>
                </w:tcPr>
                <w:p>
                  <w:pPr>
                    <w:keepNext w:val="0"/>
                    <w:keepLines w:val="0"/>
                    <w:pageBreakBefore w:val="0"/>
                    <w:wordWrap/>
                    <w:topLinePunct w:val="0"/>
                    <w:bidi w:val="0"/>
                    <w:spacing w:line="240" w:lineRule="auto"/>
                    <w:ind w:left="0" w:left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c>
                <w:tcPr>
                  <w:tcW w:w="364" w:type="pct"/>
                  <w:vAlign w:val="center"/>
                </w:tcPr>
                <w:p>
                  <w:pPr>
                    <w:keepNext w:val="0"/>
                    <w:keepLines w:val="0"/>
                    <w:pageBreakBefore w:val="0"/>
                    <w:wordWrap/>
                    <w:topLinePunct w:val="0"/>
                    <w:bidi w:val="0"/>
                    <w:spacing w:line="240" w:lineRule="auto"/>
                    <w:ind w:left="0" w:left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c>
                <w:tcPr>
                  <w:tcW w:w="388" w:type="pct"/>
                  <w:vAlign w:val="center"/>
                </w:tcPr>
                <w:p>
                  <w:pPr>
                    <w:keepNext w:val="0"/>
                    <w:keepLines w:val="0"/>
                    <w:pageBreakBefore w:val="0"/>
                    <w:wordWrap/>
                    <w:topLinePunct w:val="0"/>
                    <w:bidi w:val="0"/>
                    <w:spacing w:line="240" w:lineRule="auto"/>
                    <w:ind w:left="0" w:lef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31"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69"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食堂油烟</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油烟</w:t>
                  </w:r>
                </w:p>
              </w:tc>
              <w:tc>
                <w:tcPr>
                  <w:tcW w:w="339"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77</w:t>
                  </w:r>
                </w:p>
              </w:tc>
              <w:tc>
                <w:tcPr>
                  <w:tcW w:w="355"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423"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油烟净化器</w:t>
                  </w:r>
                  <w:r>
                    <w:rPr>
                      <w:rFonts w:hint="eastAsia" w:cs="Times New Roman"/>
                      <w:color w:val="auto"/>
                      <w:szCs w:val="21"/>
                      <w:highlight w:val="none"/>
                      <w:lang w:val="en-US" w:eastAsia="zh-CN"/>
                    </w:rPr>
                    <w:t>处理后通过专用</w:t>
                  </w:r>
                  <w:r>
                    <w:rPr>
                      <w:rFonts w:hint="default" w:ascii="Times New Roman" w:hAnsi="Times New Roman" w:cs="Times New Roman"/>
                      <w:color w:val="auto"/>
                      <w:szCs w:val="21"/>
                      <w:highlight w:val="none"/>
                    </w:rPr>
                    <w:t>烟道引至</w:t>
                  </w:r>
                  <w:r>
                    <w:rPr>
                      <w:rFonts w:hint="eastAsia" w:cs="Times New Roman"/>
                      <w:color w:val="auto"/>
                      <w:szCs w:val="21"/>
                      <w:highlight w:val="none"/>
                      <w:lang w:val="en-US" w:eastAsia="zh-CN"/>
                    </w:rPr>
                    <w:t>住院</w:t>
                  </w:r>
                  <w:r>
                    <w:rPr>
                      <w:rFonts w:hint="default" w:ascii="Times New Roman" w:hAnsi="Times New Roman" w:cs="Times New Roman"/>
                      <w:color w:val="auto"/>
                      <w:szCs w:val="21"/>
                      <w:highlight w:val="none"/>
                    </w:rPr>
                    <w:t>楼顶排放</w:t>
                  </w:r>
                </w:p>
              </w:tc>
              <w:tc>
                <w:tcPr>
                  <w:tcW w:w="364" w:type="pct"/>
                  <w:vAlign w:val="center"/>
                </w:tcPr>
                <w:p>
                  <w:pPr>
                    <w:keepNext w:val="0"/>
                    <w:keepLines w:val="0"/>
                    <w:pageBreakBefore w:val="0"/>
                    <w:wordWrap/>
                    <w:topLinePunct w:val="0"/>
                    <w:bidi w:val="0"/>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372" w:type="pct"/>
                  <w:vAlign w:val="center"/>
                </w:tcPr>
                <w:p>
                  <w:pPr>
                    <w:keepNext w:val="0"/>
                    <w:keepLines w:val="0"/>
                    <w:pageBreakBefore w:val="0"/>
                    <w:wordWrap/>
                    <w:topLinePunct w:val="0"/>
                    <w:bidi w:val="0"/>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11.62</w:t>
                  </w:r>
                </w:p>
              </w:tc>
              <w:tc>
                <w:tcPr>
                  <w:tcW w:w="364" w:type="pct"/>
                  <w:vAlign w:val="center"/>
                </w:tcPr>
                <w:p>
                  <w:pPr>
                    <w:keepNext w:val="0"/>
                    <w:keepLines w:val="0"/>
                    <w:pageBreakBefore w:val="0"/>
                    <w:wordWrap/>
                    <w:topLinePunct w:val="0"/>
                    <w:bidi w:val="0"/>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0.0106</w:t>
                  </w:r>
                </w:p>
              </w:tc>
              <w:tc>
                <w:tcPr>
                  <w:tcW w:w="388" w:type="pct"/>
                  <w:vAlign w:val="center"/>
                </w:tcPr>
                <w:p>
                  <w:pPr>
                    <w:keepNext w:val="0"/>
                    <w:keepLines w:val="0"/>
                    <w:pageBreakBefore w:val="0"/>
                    <w:wordWrap/>
                    <w:topLinePunct w:val="0"/>
                    <w:bidi w:val="0"/>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1.06</w:t>
                  </w:r>
                </w:p>
              </w:tc>
              <w:tc>
                <w:tcPr>
                  <w:tcW w:w="231"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eastAsia"/>
                      <w:color w:val="auto"/>
                      <w:sz w:val="21"/>
                      <w:szCs w:val="21"/>
                      <w:highlight w:val="none"/>
                    </w:rPr>
                    <w:t>楼顶</w:t>
                  </w:r>
                  <w:r>
                    <w:rPr>
                      <w:color w:val="auto"/>
                      <w:sz w:val="21"/>
                      <w:szCs w:val="21"/>
                      <w:highlight w:val="none"/>
                    </w:rPr>
                    <w:t>排放</w:t>
                  </w:r>
                </w:p>
              </w:tc>
              <w:tc>
                <w:tcPr>
                  <w:tcW w:w="369"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Merge w:val="restar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一体化</w:t>
                  </w:r>
                  <w:r>
                    <w:rPr>
                      <w:rFonts w:hint="default" w:ascii="Times New Roman" w:hAnsi="Times New Roman" w:cs="Times New Roman"/>
                      <w:color w:val="auto"/>
                      <w:sz w:val="21"/>
                      <w:szCs w:val="21"/>
                      <w:highlight w:val="none"/>
                    </w:rPr>
                    <w:t>污水处理</w:t>
                  </w:r>
                  <w:r>
                    <w:rPr>
                      <w:rFonts w:hint="eastAsia" w:cs="Times New Roman"/>
                      <w:color w:val="auto"/>
                      <w:sz w:val="21"/>
                      <w:szCs w:val="21"/>
                      <w:highlight w:val="none"/>
                      <w:lang w:val="en-US" w:eastAsia="zh-CN"/>
                    </w:rPr>
                    <w:t>设施</w:t>
                  </w:r>
                  <w:r>
                    <w:rPr>
                      <w:rFonts w:hint="default" w:ascii="Times New Roman" w:hAnsi="Times New Roman" w:cs="Times New Roman"/>
                      <w:color w:val="auto"/>
                      <w:sz w:val="21"/>
                      <w:szCs w:val="21"/>
                      <w:highlight w:val="none"/>
                    </w:rPr>
                    <w:t>恶臭</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339"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4.114</w:t>
                  </w:r>
                </w:p>
              </w:tc>
              <w:tc>
                <w:tcPr>
                  <w:tcW w:w="355" w:type="pct"/>
                  <w:vMerge w:val="restar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23" w:type="pct"/>
                  <w:vMerge w:val="restar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在设施周边投加除臭剂、定期消毒</w:t>
                  </w:r>
                </w:p>
              </w:tc>
              <w:tc>
                <w:tcPr>
                  <w:tcW w:w="364" w:type="pct"/>
                  <w:vMerge w:val="restar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72"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1.646</w:t>
                  </w:r>
                </w:p>
              </w:tc>
              <w:tc>
                <w:tcPr>
                  <w:tcW w:w="364"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0.000188</w:t>
                  </w:r>
                </w:p>
              </w:tc>
              <w:tc>
                <w:tcPr>
                  <w:tcW w:w="388"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31" w:type="pct"/>
                  <w:vMerge w:val="restar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无组织排放</w:t>
                  </w:r>
                </w:p>
              </w:tc>
              <w:tc>
                <w:tcPr>
                  <w:tcW w:w="36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Merge w:val="continue"/>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372"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339"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0.159</w:t>
                  </w:r>
                </w:p>
              </w:tc>
              <w:tc>
                <w:tcPr>
                  <w:tcW w:w="355"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p>
              </w:tc>
              <w:tc>
                <w:tcPr>
                  <w:tcW w:w="1423"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p>
              </w:tc>
              <w:tc>
                <w:tcPr>
                  <w:tcW w:w="364"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p>
              </w:tc>
              <w:tc>
                <w:tcPr>
                  <w:tcW w:w="372"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0.064</w:t>
                  </w:r>
                </w:p>
              </w:tc>
              <w:tc>
                <w:tcPr>
                  <w:tcW w:w="364"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0.000007</w:t>
                  </w:r>
                </w:p>
              </w:tc>
              <w:tc>
                <w:tcPr>
                  <w:tcW w:w="388"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231" w:type="pct"/>
                  <w:vMerge w:val="continue"/>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p>
              </w:tc>
              <w:tc>
                <w:tcPr>
                  <w:tcW w:w="36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汽车尾气</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HC、CO等</w:t>
                  </w:r>
                </w:p>
              </w:tc>
              <w:tc>
                <w:tcPr>
                  <w:tcW w:w="33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355"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423"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产生量较小，自然扩散</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372"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364"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388"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231"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369" w:type="pct"/>
                  <w:vAlign w:val="center"/>
                </w:tcPr>
                <w:p>
                  <w:pPr>
                    <w:keepNext w:val="0"/>
                    <w:keepLines w:val="0"/>
                    <w:pageBreakBefore w:val="0"/>
                    <w:wordWrap/>
                    <w:topLinePunct w:val="0"/>
                    <w:bidi w:val="0"/>
                    <w:spacing w:line="240" w:lineRule="auto"/>
                    <w:ind w:left="0" w:left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p>
              </w:tc>
            </w:tr>
          </w:tbl>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监测要求</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一体化污水处理设施恶臭监测计划按照《排污许可证申请与核发技术规范 医疗机构》（HJ1105-2020）制定。</w:t>
            </w:r>
          </w:p>
          <w:p>
            <w:pPr>
              <w:keepNext w:val="0"/>
              <w:keepLines w:val="0"/>
              <w:pageBreakBefore w:val="0"/>
              <w:wordWrap/>
              <w:topLinePunct w:val="0"/>
              <w:bidi w:val="0"/>
              <w:snapToGrid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default" w:ascii="Times New Roman" w:hAnsi="Times New Roman" w:eastAsia="黑体" w:cs="Times New Roman"/>
                <w:color w:val="auto"/>
                <w:szCs w:val="21"/>
                <w:highlight w:val="none"/>
                <w:lang w:val="en-US" w:eastAsia="zh-CN"/>
              </w:rPr>
              <w:t>3</w:t>
            </w:r>
            <w:r>
              <w:rPr>
                <w:rFonts w:hint="default" w:ascii="Times New Roman" w:hAnsi="Times New Roman" w:eastAsia="黑体" w:cs="Times New Roman"/>
                <w:color w:val="auto"/>
                <w:szCs w:val="21"/>
                <w:highlight w:val="none"/>
              </w:rPr>
              <w:t xml:space="preserve">  </w:t>
            </w:r>
            <w:r>
              <w:rPr>
                <w:rFonts w:hint="eastAsia" w:eastAsia="黑体" w:cs="Times New Roman"/>
                <w:color w:val="auto"/>
                <w:szCs w:val="21"/>
                <w:highlight w:val="none"/>
                <w:lang w:eastAsia="zh-CN"/>
              </w:rPr>
              <w:t>一体化污水处理设施</w:t>
            </w:r>
            <w:r>
              <w:rPr>
                <w:rFonts w:hint="default" w:ascii="Times New Roman" w:hAnsi="Times New Roman" w:eastAsia="黑体" w:cs="Times New Roman"/>
                <w:color w:val="auto"/>
                <w:szCs w:val="21"/>
                <w:highlight w:val="none"/>
              </w:rPr>
              <w:t>废气监测方案</w:t>
            </w:r>
          </w:p>
          <w:tbl>
            <w:tblPr>
              <w:tblStyle w:val="20"/>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2125"/>
              <w:gridCol w:w="1159"/>
              <w:gridCol w:w="3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0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2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监测指标</w:t>
                  </w:r>
                </w:p>
              </w:tc>
              <w:tc>
                <w:tcPr>
                  <w:tcW w:w="11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c>
                <w:tcPr>
                  <w:tcW w:w="380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0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一体化污水处理设施</w:t>
                  </w:r>
                  <w:r>
                    <w:rPr>
                      <w:rFonts w:hint="default" w:ascii="Times New Roman" w:hAnsi="Times New Roman" w:cs="Times New Roman"/>
                      <w:color w:val="auto"/>
                      <w:szCs w:val="21"/>
                      <w:highlight w:val="none"/>
                    </w:rPr>
                    <w:t>周界</w:t>
                  </w:r>
                </w:p>
              </w:tc>
              <w:tc>
                <w:tcPr>
                  <w:tcW w:w="2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S、臭气浓度、甲烷</w:t>
                  </w:r>
                </w:p>
              </w:tc>
              <w:tc>
                <w:tcPr>
                  <w:tcW w:w="11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1季度/次</w:t>
                  </w:r>
                </w:p>
              </w:tc>
              <w:tc>
                <w:tcPr>
                  <w:tcW w:w="38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《医疗机构水污染物排放标准》（GB18466-2005）表3限值要求</w:t>
                  </w:r>
                </w:p>
              </w:tc>
            </w:tr>
          </w:tbl>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b/>
                <w:bCs/>
                <w:color w:val="auto"/>
                <w:sz w:val="24"/>
                <w:highlight w:val="none"/>
              </w:rPr>
              <w:t>环境影响评价结论</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本项目区域属于空气质量达标区，选址边界500m范围内的环境保护目标主要为项目周边</w:t>
            </w:r>
            <w:r>
              <w:rPr>
                <w:rFonts w:hint="eastAsia" w:cs="Times New Roman"/>
                <w:color w:val="auto"/>
                <w:sz w:val="24"/>
                <w:highlight w:val="none"/>
                <w:lang w:val="en-US" w:eastAsia="zh-CN"/>
              </w:rPr>
              <w:t>商住户</w:t>
            </w:r>
            <w:r>
              <w:rPr>
                <w:rFonts w:hint="default" w:ascii="Times New Roman" w:hAnsi="Times New Roman" w:cs="Times New Roman"/>
                <w:color w:val="auto"/>
                <w:sz w:val="24"/>
                <w:highlight w:val="none"/>
              </w:rPr>
              <w:t>。本项目为</w:t>
            </w:r>
            <w:r>
              <w:rPr>
                <w:rFonts w:hint="eastAsia" w:cs="Times New Roman"/>
                <w:color w:val="auto"/>
                <w:sz w:val="24"/>
                <w:highlight w:val="none"/>
                <w:lang w:val="en-US" w:eastAsia="zh-CN"/>
              </w:rPr>
              <w:t>综合医院建设</w:t>
            </w:r>
            <w:r>
              <w:rPr>
                <w:rFonts w:hint="default" w:ascii="Times New Roman" w:hAnsi="Times New Roman" w:cs="Times New Roman"/>
                <w:color w:val="auto"/>
                <w:sz w:val="24"/>
                <w:highlight w:val="none"/>
              </w:rPr>
              <w:t>项目，</w:t>
            </w:r>
            <w:r>
              <w:rPr>
                <w:rFonts w:hint="eastAsia" w:cs="Times New Roman"/>
                <w:color w:val="auto"/>
                <w:sz w:val="24"/>
                <w:highlight w:val="none"/>
                <w:lang w:eastAsia="zh-CN"/>
              </w:rPr>
              <w:t>营运期</w:t>
            </w:r>
            <w:r>
              <w:rPr>
                <w:rFonts w:hint="default" w:ascii="Times New Roman" w:hAnsi="Times New Roman" w:cs="Times New Roman"/>
                <w:color w:val="auto"/>
                <w:sz w:val="24"/>
                <w:highlight w:val="none"/>
              </w:rPr>
              <w:t>废气主要是</w:t>
            </w:r>
            <w:r>
              <w:rPr>
                <w:rFonts w:hint="eastAsia" w:cs="Times New Roman"/>
                <w:color w:val="auto"/>
                <w:sz w:val="24"/>
                <w:szCs w:val="24"/>
                <w:highlight w:val="none"/>
                <w:lang w:eastAsia="zh-CN"/>
              </w:rPr>
              <w:t>病区含菌空气、垃圾恶臭、</w:t>
            </w:r>
            <w:r>
              <w:rPr>
                <w:rFonts w:hint="eastAsia" w:cs="Times New Roman"/>
                <w:color w:val="auto"/>
                <w:sz w:val="24"/>
                <w:szCs w:val="24"/>
                <w:highlight w:val="none"/>
                <w:lang w:val="en-US" w:eastAsia="zh-CN"/>
              </w:rPr>
              <w:t>柴油</w:t>
            </w:r>
            <w:r>
              <w:rPr>
                <w:rFonts w:hint="eastAsia" w:cs="Times New Roman"/>
                <w:color w:val="auto"/>
                <w:sz w:val="24"/>
                <w:szCs w:val="24"/>
                <w:highlight w:val="none"/>
                <w:lang w:eastAsia="zh-CN"/>
              </w:rPr>
              <w:t>发电机废气、食堂油烟、一体化污水处理设施恶臭、汽车尾气</w:t>
            </w:r>
            <w:r>
              <w:rPr>
                <w:rFonts w:hint="default" w:ascii="Times New Roman" w:hAnsi="Times New Roman" w:cs="Times New Roman"/>
                <w:color w:val="auto"/>
                <w:sz w:val="24"/>
                <w:highlight w:val="none"/>
              </w:rPr>
              <w:t>等，环评要求上述废气均需采取污染防治措施处理后排放，不会对区域大气环境造成不利影响。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二、废水</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eastAsiaTheme="minorEastAsia"/>
                <w:b/>
                <w:color w:val="auto"/>
                <w:sz w:val="24"/>
                <w:szCs w:val="24"/>
                <w:highlight w:val="none"/>
              </w:rPr>
              <w:t>产排污环节、类别、污染物种类、产生量核算</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u w:val="single"/>
                <w:lang w:val="en-US" w:eastAsia="zh-CN"/>
              </w:rPr>
              <w:t>本项目采用雨、污分流制。</w:t>
            </w:r>
            <w:r>
              <w:rPr>
                <w:rFonts w:hint="default" w:ascii="Times New Roman" w:hAnsi="Times New Roman" w:cs="Times New Roman"/>
                <w:b w:val="0"/>
                <w:bCs w:val="0"/>
                <w:color w:val="auto"/>
                <w:sz w:val="24"/>
                <w:szCs w:val="24"/>
                <w:highlight w:val="none"/>
                <w:lang w:val="en-US" w:eastAsia="zh-CN"/>
              </w:rPr>
              <w:t>雨水采用重力流雨水系统排放，本项目外排废水主要包括医疗废水、陪护及医护人员生活污水和其他废水，其中医疗废水由住院治疗和门诊治疗废水等排水组成，</w:t>
            </w:r>
            <w:r>
              <w:rPr>
                <w:rFonts w:hint="eastAsia"/>
                <w:color w:val="auto"/>
                <w:sz w:val="24"/>
                <w:highlight w:val="none"/>
              </w:rPr>
              <w:t>包括诊断、检查、手术、治疗</w:t>
            </w:r>
            <w:r>
              <w:rPr>
                <w:rFonts w:hint="eastAsia"/>
                <w:color w:val="auto"/>
                <w:sz w:val="24"/>
                <w:highlight w:val="none"/>
                <w:lang w:val="en-US" w:eastAsia="zh-CN"/>
              </w:rPr>
              <w:t>等</w:t>
            </w:r>
            <w:r>
              <w:rPr>
                <w:rFonts w:hint="eastAsia"/>
                <w:color w:val="auto"/>
                <w:sz w:val="24"/>
                <w:highlight w:val="none"/>
              </w:rPr>
              <w:t>废水；</w:t>
            </w:r>
            <w:r>
              <w:rPr>
                <w:rFonts w:hint="default" w:ascii="Times New Roman" w:hAnsi="Times New Roman" w:cs="Times New Roman"/>
                <w:b w:val="0"/>
                <w:bCs w:val="0"/>
                <w:color w:val="auto"/>
                <w:sz w:val="24"/>
                <w:szCs w:val="24"/>
                <w:highlight w:val="none"/>
                <w:lang w:val="en-US" w:eastAsia="zh-CN"/>
              </w:rPr>
              <w:t>生活污水由医务人员、陪护人员生活污水和食堂废水组成；其他废水包括地面清洁废水。</w:t>
            </w:r>
            <w:r>
              <w:rPr>
                <w:rFonts w:hint="eastAsia"/>
                <w:color w:val="auto"/>
                <w:sz w:val="24"/>
                <w:highlight w:val="none"/>
              </w:rPr>
              <w:t>本项目不设置洗浆房，衣服、床单等均为外委清洗，因此无洗浆废水。</w:t>
            </w:r>
          </w:p>
          <w:p>
            <w:pPr>
              <w:spacing w:line="360" w:lineRule="auto"/>
              <w:ind w:firstLine="480"/>
              <w:rPr>
                <w:rFonts w:hint="default" w:ascii="Times New Roman" w:hAnsi="Times New Roman" w:eastAsia="宋体" w:cs="Times New Roman"/>
                <w:color w:val="auto"/>
                <w:sz w:val="24"/>
                <w:highlight w:val="none"/>
                <w:lang w:val="en-US" w:eastAsia="zh-CN"/>
              </w:rPr>
            </w:pPr>
            <w:r>
              <w:rPr>
                <w:rFonts w:hint="eastAsia"/>
                <w:b/>
                <w:bCs/>
                <w:color w:val="auto"/>
                <w:sz w:val="24"/>
                <w:highlight w:val="none"/>
                <w:u w:val="single"/>
                <w:lang w:val="en-US" w:eastAsia="zh-CN"/>
              </w:rPr>
              <w:t>本项目特殊废水为检验室废液，特殊废水应使用专用容器盛装，产生量为20L/d。</w:t>
            </w:r>
            <w:r>
              <w:rPr>
                <w:rFonts w:hint="eastAsia"/>
                <w:color w:val="auto"/>
                <w:sz w:val="24"/>
                <w:highlight w:val="none"/>
                <w:u w:val="single"/>
                <w:lang w:val="en-US" w:eastAsia="zh-CN"/>
              </w:rPr>
              <w:t>需要说明的是：①</w:t>
            </w:r>
            <w:r>
              <w:rPr>
                <w:rFonts w:hint="eastAsia"/>
                <w:color w:val="auto"/>
                <w:sz w:val="24"/>
                <w:highlight w:val="none"/>
                <w:u w:val="single"/>
              </w:rPr>
              <w:t>医院检验、病理分析采用外购成品一次性专用检测试剂，</w:t>
            </w:r>
            <w:r>
              <w:rPr>
                <w:rFonts w:hint="eastAsia"/>
                <w:color w:val="auto"/>
                <w:sz w:val="24"/>
                <w:highlight w:val="none"/>
                <w:u w:val="single"/>
                <w:lang w:val="en-US" w:eastAsia="zh-CN"/>
              </w:rPr>
              <w:t>不会使用化学试剂自配检验试剂，</w:t>
            </w:r>
            <w:r>
              <w:rPr>
                <w:rFonts w:hint="default" w:ascii="Times New Roman" w:hAnsi="Times New Roman" w:cs="Times New Roman"/>
                <w:color w:val="auto"/>
                <w:sz w:val="24"/>
                <w:highlight w:val="none"/>
                <w:u w:val="single"/>
              </w:rPr>
              <w:t>因此，项目不涉及酸碱废水及重金属废水</w:t>
            </w:r>
            <w:r>
              <w:rPr>
                <w:rFonts w:hint="default" w:ascii="Times New Roman" w:hAnsi="Times New Roman" w:cs="Times New Roman"/>
                <w:color w:val="auto"/>
                <w:sz w:val="24"/>
                <w:highlight w:val="none"/>
                <w:u w:val="single"/>
                <w:lang w:eastAsia="zh-CN"/>
              </w:rPr>
              <w:t>；</w:t>
            </w:r>
            <w:r>
              <w:rPr>
                <w:rFonts w:hint="default" w:ascii="Times New Roman" w:hAnsi="Times New Roman" w:cs="Times New Roman"/>
                <w:color w:val="auto"/>
                <w:sz w:val="24"/>
                <w:highlight w:val="none"/>
                <w:u w:val="single"/>
                <w:lang w:val="en-US" w:eastAsia="zh-CN"/>
              </w:rPr>
              <w:t>根据《四川省试验室危险废物污染防治技术指南》（试行）要求，项目</w:t>
            </w:r>
            <w:r>
              <w:rPr>
                <w:rFonts w:hint="default" w:ascii="Times New Roman" w:hAnsi="Times New Roman" w:cs="Times New Roman"/>
                <w:color w:val="auto"/>
                <w:sz w:val="24"/>
                <w:highlight w:val="none"/>
                <w:u w:val="single"/>
              </w:rPr>
              <w:t>检验、病理分析采用外购成品一次性专用检测试剂，</w:t>
            </w:r>
            <w:r>
              <w:rPr>
                <w:rFonts w:hint="default" w:ascii="Times New Roman" w:hAnsi="Times New Roman" w:cs="Times New Roman"/>
                <w:color w:val="auto"/>
                <w:sz w:val="24"/>
                <w:highlight w:val="none"/>
                <w:u w:val="single"/>
                <w:lang w:val="en-US" w:eastAsia="zh-CN"/>
              </w:rPr>
              <w:t>检验科产生的废弃标本、废试剂、废试纸等废弃物作为危险废物处置，在检验科分类采用专用容器收集后，并在容器外粘贴标签，用中文全称标示内部危险废物种类和主要成分信息，定期</w:t>
            </w:r>
            <w:r>
              <w:rPr>
                <w:rFonts w:hint="default" w:ascii="Times New Roman" w:hAnsi="Times New Roman" w:cs="Times New Roman"/>
                <w:color w:val="auto"/>
                <w:sz w:val="24"/>
                <w:highlight w:val="none"/>
                <w:u w:val="single"/>
              </w:rPr>
              <w:t>交由</w:t>
            </w:r>
            <w:r>
              <w:rPr>
                <w:rFonts w:hint="eastAsia" w:cs="Times New Roman"/>
                <w:color w:val="auto"/>
                <w:sz w:val="24"/>
                <w:highlight w:val="none"/>
                <w:u w:val="single"/>
                <w:lang w:val="en-US" w:eastAsia="zh-CN"/>
              </w:rPr>
              <w:t>有资质的单位</w:t>
            </w:r>
            <w:r>
              <w:rPr>
                <w:rFonts w:hint="eastAsia" w:ascii="Times New Roman" w:hAnsi="Times New Roman" w:cs="Times New Roman"/>
                <w:color w:val="auto"/>
                <w:sz w:val="24"/>
                <w:highlight w:val="none"/>
                <w:u w:val="single"/>
                <w:lang w:val="en-US" w:eastAsia="zh-CN"/>
              </w:rPr>
              <w:t>进行</w:t>
            </w:r>
            <w:r>
              <w:rPr>
                <w:rFonts w:hint="default" w:ascii="Times New Roman" w:hAnsi="Times New Roman" w:cs="Times New Roman"/>
                <w:color w:val="auto"/>
                <w:sz w:val="24"/>
                <w:highlight w:val="none"/>
                <w:u w:val="single"/>
              </w:rPr>
              <w:t>处理。</w:t>
            </w:r>
            <w:r>
              <w:rPr>
                <w:rFonts w:hint="eastAsia"/>
                <w:color w:val="auto"/>
                <w:spacing w:val="4"/>
                <w:sz w:val="24"/>
                <w:highlight w:val="none"/>
                <w:u w:val="single"/>
                <w:lang w:val="en-US" w:eastAsia="zh-CN"/>
              </w:rPr>
              <w:t>②</w:t>
            </w:r>
            <w:r>
              <w:rPr>
                <w:rFonts w:hint="eastAsia"/>
                <w:color w:val="auto"/>
                <w:sz w:val="24"/>
                <w:highlight w:val="none"/>
                <w:u w:val="single"/>
              </w:rPr>
              <w:t>本项目</w:t>
            </w:r>
            <w:r>
              <w:rPr>
                <w:color w:val="auto"/>
                <w:spacing w:val="4"/>
                <w:sz w:val="24"/>
                <w:highlight w:val="none"/>
                <w:u w:val="single"/>
              </w:rPr>
              <w:t>采用一次电脑成像技术，不产生洗印废液；</w:t>
            </w:r>
            <w:r>
              <w:rPr>
                <w:rFonts w:hint="eastAsia"/>
                <w:color w:val="auto"/>
                <w:spacing w:val="4"/>
                <w:sz w:val="24"/>
                <w:highlight w:val="none"/>
                <w:u w:val="single"/>
                <w:lang w:val="en-US" w:eastAsia="zh-CN"/>
              </w:rPr>
              <w:t>③</w:t>
            </w:r>
            <w:r>
              <w:rPr>
                <w:rFonts w:hint="eastAsia"/>
                <w:color w:val="auto"/>
                <w:spacing w:val="4"/>
                <w:sz w:val="24"/>
                <w:highlight w:val="none"/>
                <w:u w:val="single"/>
              </w:rPr>
              <w:t>项目不设置牙科，不产生含汞废水；</w:t>
            </w:r>
            <w:r>
              <w:rPr>
                <w:rFonts w:hint="eastAsia"/>
                <w:color w:val="auto"/>
                <w:sz w:val="24"/>
                <w:highlight w:val="none"/>
                <w:u w:val="single"/>
                <w:lang w:val="en-US" w:eastAsia="zh-CN"/>
              </w:rPr>
              <w:t>④</w:t>
            </w:r>
            <w:r>
              <w:rPr>
                <w:rFonts w:hint="eastAsia"/>
                <w:color w:val="auto"/>
                <w:sz w:val="24"/>
                <w:highlight w:val="none"/>
                <w:u w:val="single"/>
              </w:rPr>
              <w:t>本项目不设传染病及结核病等相关诊疗科室和病房，若发现有传染性病人，立即送至传染病专科医院，故医院不会产生具有强传染性的废水</w:t>
            </w:r>
            <w:r>
              <w:rPr>
                <w:rFonts w:hint="eastAsia"/>
                <w:color w:val="auto"/>
                <w:sz w:val="24"/>
                <w:highlight w:val="none"/>
                <w:u w:val="single"/>
                <w:lang w:eastAsia="zh-CN"/>
              </w:rPr>
              <w:t>；</w:t>
            </w:r>
            <w:r>
              <w:rPr>
                <w:rFonts w:hint="eastAsia"/>
                <w:color w:val="auto"/>
                <w:sz w:val="24"/>
                <w:highlight w:val="none"/>
                <w:u w:val="single"/>
                <w:lang w:val="en-US" w:eastAsia="zh-CN"/>
              </w:rPr>
              <w:t>⑤</w:t>
            </w:r>
            <w:r>
              <w:rPr>
                <w:rFonts w:hint="eastAsia"/>
                <w:color w:val="auto"/>
                <w:sz w:val="24"/>
                <w:highlight w:val="none"/>
                <w:u w:val="single"/>
              </w:rPr>
              <w:t>医院血液、血清化学检查，采用溶血素、试纸带等替代氰化钠、氰化钾，未使用氰化物试剂，因此不会产生含氰废水。</w:t>
            </w:r>
          </w:p>
          <w:p>
            <w:pPr>
              <w:keepNext w:val="0"/>
              <w:keepLines w:val="0"/>
              <w:pageBreakBefore w:val="0"/>
              <w:numPr>
                <w:ilvl w:val="0"/>
                <w:numId w:val="4"/>
              </w:numPr>
              <w:wordWrap/>
              <w:topLinePunct w:val="0"/>
              <w:bidi w:val="0"/>
              <w:adjustRightInd w:val="0"/>
              <w:snapToGrid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医疗废水</w:t>
            </w:r>
          </w:p>
          <w:p>
            <w:pPr>
              <w:keepNext w:val="0"/>
              <w:keepLines w:val="0"/>
              <w:pageBreakBefore w:val="0"/>
              <w:numPr>
                <w:ilvl w:val="0"/>
                <w:numId w:val="0"/>
              </w:numPr>
              <w:wordWrap/>
              <w:topLinePunct w:val="0"/>
              <w:bidi w:val="0"/>
              <w:adjustRightInd w:val="0"/>
              <w:snapToGrid w:val="0"/>
              <w:spacing w:line="360" w:lineRule="auto"/>
              <w:ind w:left="0" w:leftChars="0" w:firstLine="480" w:firstLineChars="200"/>
              <w:rPr>
                <w:rFonts w:hint="default" w:ascii="Times New Roman" w:hAnsi="Times New Roman" w:cs="Times New Roman"/>
                <w:b/>
                <w:color w:val="auto"/>
                <w:sz w:val="32"/>
                <w:szCs w:val="32"/>
                <w:highlight w:val="none"/>
              </w:rPr>
            </w:pPr>
            <w:r>
              <w:rPr>
                <w:rFonts w:hint="default" w:ascii="Times New Roman" w:hAnsi="Times New Roman" w:cs="Times New Roman"/>
                <w:color w:val="auto"/>
                <w:sz w:val="24"/>
                <w:highlight w:val="none"/>
              </w:rPr>
              <w:t>住院病人废水、门诊病人废水</w:t>
            </w:r>
            <w:r>
              <w:rPr>
                <w:rFonts w:hint="eastAsia" w:cs="Times New Roman"/>
                <w:color w:val="auto"/>
                <w:sz w:val="24"/>
                <w:highlight w:val="none"/>
                <w:lang w:eastAsia="zh-CN"/>
              </w:rPr>
              <w:t>、</w:t>
            </w:r>
            <w:r>
              <w:rPr>
                <w:rFonts w:hint="eastAsia" w:cs="Times New Roman"/>
                <w:color w:val="auto"/>
                <w:sz w:val="24"/>
                <w:highlight w:val="none"/>
                <w:lang w:val="en-US" w:eastAsia="zh-CN"/>
              </w:rPr>
              <w:t>血透废水</w:t>
            </w:r>
            <w:r>
              <w:rPr>
                <w:rFonts w:hint="default" w:ascii="Times New Roman" w:hAnsi="Times New Roman" w:cs="Times New Roman"/>
                <w:color w:val="auto"/>
                <w:sz w:val="24"/>
                <w:highlight w:val="none"/>
              </w:rPr>
              <w:t>排放量为</w:t>
            </w:r>
            <w:r>
              <w:rPr>
                <w:rFonts w:hint="eastAsia" w:cs="Times New Roman"/>
                <w:color w:val="auto"/>
                <w:sz w:val="24"/>
                <w:highlight w:val="none"/>
                <w:lang w:val="en-US" w:eastAsia="zh-CN"/>
              </w:rPr>
              <w:t>32.13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/d；根据《医院污水处理技术指南》和同类型医院的相关数据，医院污水污染物浓度分别为COD：300mg/L、BOD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：150mg/L、SS：120mg/L、NH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-N：50mg/L、TP：9mg/L、动植物油：25mg/L、粪大肠菌群：1.6×10</w:t>
            </w:r>
            <w:r>
              <w:rPr>
                <w:rFonts w:hint="default" w:ascii="Times New Roman" w:hAnsi="Times New Roman" w:cs="Times New Roman"/>
                <w:color w:val="auto"/>
                <w:sz w:val="24"/>
                <w:highlight w:val="none"/>
                <w:vertAlign w:val="superscript"/>
              </w:rPr>
              <w:t>8</w:t>
            </w:r>
            <w:r>
              <w:rPr>
                <w:rFonts w:hint="default" w:ascii="Times New Roman" w:hAnsi="Times New Roman" w:cs="Times New Roman"/>
                <w:color w:val="auto"/>
                <w:sz w:val="24"/>
                <w:highlight w:val="none"/>
              </w:rPr>
              <w:t>个/L。</w:t>
            </w:r>
          </w:p>
          <w:p>
            <w:pPr>
              <w:keepNext w:val="0"/>
              <w:keepLines w:val="0"/>
              <w:pageBreakBefore w:val="0"/>
              <w:wordWrap/>
              <w:topLinePunct w:val="0"/>
              <w:bidi w:val="0"/>
              <w:adjustRightInd w:val="0"/>
              <w:snapToGrid w:val="0"/>
              <w:spacing w:line="360" w:lineRule="auto"/>
              <w:ind w:left="0" w:leftChars="0"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2）</w:t>
            </w:r>
            <w:r>
              <w:rPr>
                <w:rFonts w:hint="default" w:ascii="Times New Roman" w:hAnsi="Times New Roman" w:cs="Times New Roman"/>
                <w:b/>
                <w:bCs/>
                <w:color w:val="auto"/>
                <w:sz w:val="24"/>
                <w:highlight w:val="none"/>
                <w:lang w:eastAsia="zh-CN"/>
              </w:rPr>
              <w:t>生活污水</w:t>
            </w:r>
          </w:p>
          <w:p>
            <w:pPr>
              <w:keepNext w:val="0"/>
              <w:keepLines w:val="0"/>
              <w:pageBreakBefore w:val="0"/>
              <w:wordWrap/>
              <w:topLinePunct w:val="0"/>
              <w:bidi w:val="0"/>
              <w:adjustRightInd w:val="0"/>
              <w:snapToGrid w:val="0"/>
              <w:spacing w:line="360" w:lineRule="auto"/>
              <w:ind w:left="0" w:leftChars="0"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医务人员</w:t>
            </w:r>
            <w:r>
              <w:rPr>
                <w:rFonts w:hint="default" w:ascii="Times New Roman" w:hAnsi="Times New Roman" w:cs="Times New Roman"/>
                <w:color w:val="auto"/>
                <w:sz w:val="24"/>
                <w:highlight w:val="none"/>
                <w:lang w:eastAsia="zh-CN"/>
              </w:rPr>
              <w:t>生活污水</w:t>
            </w:r>
            <w:r>
              <w:rPr>
                <w:rFonts w:hint="default" w:ascii="Times New Roman" w:hAnsi="Times New Roman" w:cs="Times New Roman"/>
                <w:color w:val="auto"/>
                <w:sz w:val="24"/>
                <w:highlight w:val="none"/>
              </w:rPr>
              <w:t>、食堂废水、陪护人员的废水，废水排放量为</w:t>
            </w:r>
            <w:r>
              <w:rPr>
                <w:rFonts w:hint="eastAsia" w:cs="Times New Roman"/>
                <w:color w:val="auto"/>
                <w:sz w:val="24"/>
                <w:highlight w:val="none"/>
                <w:lang w:val="en-US" w:eastAsia="zh-CN"/>
              </w:rPr>
              <w:t>36.68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/d，根据《医院污水处理技术指南》确定医院废水的主要污染物为 COD：300mg/L、BOD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：150mg/L、SS：120mg/L、NH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-N：50mg/L、TP：9mg/L。</w:t>
            </w:r>
          </w:p>
          <w:p>
            <w:pPr>
              <w:keepNext w:val="0"/>
              <w:keepLines w:val="0"/>
              <w:pageBreakBefore w:val="0"/>
              <w:wordWrap/>
              <w:topLinePunct w:val="0"/>
              <w:bidi w:val="0"/>
              <w:adjustRightInd w:val="0"/>
              <w:snapToGrid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eastAsia" w:cs="Times New Roman"/>
                <w:b/>
                <w:bCs/>
                <w:color w:val="auto"/>
                <w:sz w:val="24"/>
                <w:highlight w:val="none"/>
                <w:lang w:val="en-US" w:eastAsia="zh-CN"/>
              </w:rPr>
              <w:t>地面清洁</w:t>
            </w:r>
            <w:r>
              <w:rPr>
                <w:rFonts w:hint="default" w:ascii="Times New Roman" w:hAnsi="Times New Roman" w:cs="Times New Roman"/>
                <w:b/>
                <w:bCs/>
                <w:color w:val="auto"/>
                <w:sz w:val="24"/>
                <w:highlight w:val="none"/>
              </w:rPr>
              <w:t>废水</w:t>
            </w:r>
          </w:p>
          <w:p>
            <w:pPr>
              <w:keepNext w:val="0"/>
              <w:keepLines w:val="0"/>
              <w:pageBreakBefore w:val="0"/>
              <w:wordWrap/>
              <w:topLinePunct w:val="0"/>
              <w:bidi w:val="0"/>
              <w:adjustRightInd w:val="0"/>
              <w:snapToGrid w:val="0"/>
              <w:spacing w:line="360" w:lineRule="auto"/>
              <w:ind w:left="0" w:leftChars="0"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主要为地面清洁废水，废水排放量为</w:t>
            </w:r>
            <w:r>
              <w:rPr>
                <w:rFonts w:hint="eastAsia" w:cs="Times New Roman"/>
                <w:color w:val="auto"/>
                <w:sz w:val="24"/>
                <w:highlight w:val="none"/>
                <w:lang w:val="en-US" w:eastAsia="zh-CN"/>
              </w:rPr>
              <w:t>1.91</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/d，根据《医院污水处理技术指南》确定医院废水的主要污染物为 COD：300mg/L、BOD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：150mg/L、SS：120mg/L、NH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-N：50mg/L、TP：9mg/L。</w:t>
            </w:r>
          </w:p>
          <w:p>
            <w:pPr>
              <w:keepNext w:val="0"/>
              <w:keepLines w:val="0"/>
              <w:pageBreakBefore w:val="0"/>
              <w:wordWrap/>
              <w:topLinePunct w:val="0"/>
              <w:bidi w:val="0"/>
              <w:adjustRightInd w:val="0"/>
              <w:snapToGrid w:val="0"/>
              <w:spacing w:line="360" w:lineRule="auto"/>
              <w:ind w:left="0" w:leftChars="0" w:firstLine="435"/>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highlight w:val="none"/>
              </w:rPr>
              <w:t>综上，本项目废水总量为</w:t>
            </w:r>
            <w:r>
              <w:rPr>
                <w:rFonts w:hint="eastAsia" w:cs="Times New Roman"/>
                <w:color w:val="auto"/>
                <w:sz w:val="24"/>
                <w:highlight w:val="none"/>
                <w:lang w:val="en-US" w:eastAsia="zh-CN"/>
              </w:rPr>
              <w:t>72.72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/d，合计</w:t>
            </w:r>
            <w:r>
              <w:rPr>
                <w:rFonts w:hint="eastAsia" w:cs="Times New Roman"/>
                <w:color w:val="auto"/>
                <w:sz w:val="24"/>
                <w:highlight w:val="none"/>
                <w:lang w:val="en-US" w:eastAsia="zh-CN"/>
              </w:rPr>
              <w:t>26542.80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p>
          <w:p>
            <w:pPr>
              <w:keepNext w:val="0"/>
              <w:keepLines w:val="0"/>
              <w:pageBreakBefore w:val="0"/>
              <w:numPr>
                <w:ilvl w:val="0"/>
                <w:numId w:val="0"/>
              </w:numPr>
              <w:wordWrap/>
              <w:topLinePunct w:val="0"/>
              <w:bidi w:val="0"/>
              <w:adjustRightInd w:val="0"/>
              <w:snapToGrid w:val="0"/>
              <w:spacing w:line="360" w:lineRule="auto"/>
              <w:ind w:left="0" w:leftChars="0" w:firstLine="442" w:firstLineChars="200"/>
              <w:rPr>
                <w:rFonts w:hint="default" w:ascii="Times New Roman" w:hAnsi="Times New Roman" w:cs="Times New Roman"/>
                <w:color w:val="auto"/>
                <w:sz w:val="24"/>
                <w:highlight w:val="none"/>
                <w:lang w:val="en-US" w:eastAsia="zh-CN"/>
              </w:rPr>
            </w:pPr>
            <w:r>
              <w:rPr>
                <w:rFonts w:hint="eastAsia" w:cs="Times New Roman"/>
                <w:b/>
                <w:color w:val="auto"/>
                <w:spacing w:val="-10"/>
                <w:sz w:val="24"/>
                <w:highlight w:val="none"/>
                <w:lang w:val="en-US" w:eastAsia="zh-CN"/>
              </w:rPr>
              <w:t>2、治理设施、排放方式、排放口基本信息</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（1）治理措施</w:t>
            </w:r>
          </w:p>
          <w:p>
            <w:pPr>
              <w:keepNext w:val="0"/>
              <w:keepLines w:val="0"/>
              <w:pageBreakBefore w:val="0"/>
              <w:numPr>
                <w:ilvl w:val="0"/>
                <w:numId w:val="0"/>
              </w:numPr>
              <w:wordWrap/>
              <w:topLinePunct w:val="0"/>
              <w:bidi w:val="0"/>
              <w:adjustRightInd w:val="0"/>
              <w:snapToGrid w:val="0"/>
              <w:spacing w:line="360" w:lineRule="auto"/>
              <w:ind w:left="0" w:leftChars="0" w:firstLine="480" w:firstLineChars="200"/>
              <w:rPr>
                <w:rFonts w:hint="eastAsia"/>
                <w:b/>
                <w:bCs/>
                <w:color w:val="auto"/>
                <w:sz w:val="24"/>
                <w:highlight w:val="none"/>
                <w:lang w:val="en-US" w:eastAsia="zh-CN"/>
              </w:rPr>
            </w:pPr>
            <w:r>
              <w:rPr>
                <w:rFonts w:hint="eastAsia" w:cs="Times New Roman"/>
                <w:color w:val="auto"/>
                <w:sz w:val="24"/>
                <w:highlight w:val="none"/>
                <w:lang w:val="en-US" w:eastAsia="zh-CN"/>
              </w:rPr>
              <w:t>根据《医院污水处理工程技术规范》（HJ2029-2013）：“4.1.2 新（改、扩）建医院，在设计医院污水处理系统时应考虑将医院病区、非病区、传染病房、非传染病房污水分别收集。”、“4.1.3特殊性质污水应单独收集，经预处理后与医院污水合并处理，不得将特殊性质污水随意排入下水道。”、“6.1.2传染病医院污水应在预消毒后采用二级处理+消毒工艺或二级处理+深度处理+消毒工艺。”、</w:t>
            </w:r>
            <w:r>
              <w:rPr>
                <w:rFonts w:hint="eastAsia" w:cs="Times New Roman"/>
                <w:b/>
                <w:bCs/>
                <w:color w:val="auto"/>
                <w:sz w:val="24"/>
                <w:highlight w:val="none"/>
                <w:lang w:val="en-US" w:eastAsia="zh-CN"/>
              </w:rPr>
              <w:t>“6.1.3非传染病医院污水，若处理出水排入终端已建有正常运行的二级污水处理厂的城市污水管网时，可采用一级强化处理+消毒工艺。”</w:t>
            </w:r>
            <w:r>
              <w:rPr>
                <w:rFonts w:hint="eastAsia" w:cs="Times New Roman"/>
                <w:color w:val="auto"/>
                <w:sz w:val="24"/>
                <w:highlight w:val="none"/>
                <w:lang w:val="en-US" w:eastAsia="zh-CN"/>
              </w:rPr>
              <w:t>本项目</w:t>
            </w:r>
            <w:r>
              <w:rPr>
                <w:rFonts w:hint="eastAsia"/>
                <w:color w:val="auto"/>
                <w:sz w:val="24"/>
                <w:highlight w:val="none"/>
              </w:rPr>
              <w:t>不涉及传染性废水，</w:t>
            </w:r>
            <w:r>
              <w:rPr>
                <w:rFonts w:hint="eastAsia"/>
                <w:b/>
                <w:bCs/>
                <w:color w:val="auto"/>
                <w:sz w:val="24"/>
                <w:highlight w:val="none"/>
              </w:rPr>
              <w:t>项目废水经</w:t>
            </w:r>
            <w:r>
              <w:rPr>
                <w:rFonts w:hint="eastAsia"/>
                <w:b/>
                <w:bCs/>
                <w:color w:val="auto"/>
                <w:sz w:val="24"/>
                <w:highlight w:val="none"/>
                <w:lang w:eastAsia="zh-CN"/>
              </w:rPr>
              <w:t>一体化污水处理设施</w:t>
            </w:r>
            <w:r>
              <w:rPr>
                <w:rFonts w:hint="eastAsia"/>
                <w:b/>
                <w:bCs/>
                <w:color w:val="auto"/>
                <w:sz w:val="24"/>
                <w:highlight w:val="none"/>
              </w:rPr>
              <w:t>处理后</w:t>
            </w:r>
            <w:r>
              <w:rPr>
                <w:rFonts w:hint="eastAsia"/>
                <w:b/>
                <w:bCs/>
                <w:color w:val="auto"/>
                <w:sz w:val="24"/>
                <w:highlight w:val="none"/>
                <w:lang w:val="en-US" w:eastAsia="zh-CN"/>
              </w:rPr>
              <w:t>排入市政污水管网，后进入宣汉县城市生活污水处理厂处理，处理达到《城镇污水处理厂污染物排放标准》（GB18918-2002）中一级A标后排入州河。</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①一体化污水处理设施处理工艺</w:t>
            </w:r>
          </w:p>
          <w:p>
            <w:pPr>
              <w:keepNext w:val="0"/>
              <w:keepLines w:val="0"/>
              <w:pageBreakBefore w:val="0"/>
              <w:numPr>
                <w:ilvl w:val="0"/>
                <w:numId w:val="0"/>
              </w:numPr>
              <w:wordWrap/>
              <w:topLinePunct w:val="0"/>
              <w:bidi w:val="0"/>
              <w:adjustRightInd w:val="0"/>
              <w:snapToGrid w:val="0"/>
              <w:spacing w:line="360" w:lineRule="auto"/>
              <w:ind w:left="0" w:leftChars="0"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本项目设置1套处理能力为80m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/d的一体化污水处理设施对院区废水进行处理，</w:t>
            </w:r>
            <w:r>
              <w:rPr>
                <w:rFonts w:hint="default" w:ascii="Times New Roman" w:hAnsi="Times New Roman"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lang w:val="en-US" w:eastAsia="zh-CN"/>
              </w:rPr>
              <w:t>具体的处理流程为：医院废水—格栅—</w:t>
            </w:r>
            <w:r>
              <w:rPr>
                <w:rFonts w:hint="eastAsia" w:ascii="Times New Roman" w:hAnsi="Times New Roman" w:cs="Times New Roman"/>
                <w:color w:val="auto"/>
                <w:sz w:val="24"/>
                <w:highlight w:val="none"/>
                <w:lang w:val="en-US" w:eastAsia="zh-CN"/>
              </w:rPr>
              <w:t>化粪池</w:t>
            </w:r>
            <w:r>
              <w:rPr>
                <w:rFonts w:hint="default" w:ascii="Times New Roman" w:hAnsi="Times New Roman" w:cs="Times New Roman"/>
                <w:color w:val="auto"/>
                <w:sz w:val="24"/>
                <w:highlight w:val="none"/>
                <w:lang w:val="en-US" w:eastAsia="zh-CN"/>
              </w:rPr>
              <w:t>—调节池—缺氧池—好氧池—</w:t>
            </w:r>
            <w:r>
              <w:rPr>
                <w:rFonts w:hint="eastAsia" w:ascii="Times New Roman" w:hAnsi="Times New Roman" w:cs="Times New Roman"/>
                <w:color w:val="auto"/>
                <w:sz w:val="24"/>
                <w:highlight w:val="none"/>
                <w:lang w:val="en-US" w:eastAsia="zh-CN"/>
              </w:rPr>
              <w:t>沉淀池</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接触</w:t>
            </w:r>
            <w:r>
              <w:rPr>
                <w:rFonts w:hint="default" w:ascii="Times New Roman" w:hAnsi="Times New Roman" w:cs="Times New Roman"/>
                <w:color w:val="auto"/>
                <w:sz w:val="24"/>
                <w:highlight w:val="none"/>
                <w:lang w:val="en-US" w:eastAsia="zh-CN"/>
              </w:rPr>
              <w:t>消毒池—达标出水，可以满足根据《医院污水处理工程技术规范》（HJ2029-2013）、《排污许可证申请与核发技术规范 医疗机构》（HJ 1105-2020）中相关要求。</w:t>
            </w:r>
          </w:p>
          <w:p>
            <w:pPr>
              <w:keepNext w:val="0"/>
              <w:keepLines w:val="0"/>
              <w:pageBreakBefore w:val="0"/>
              <w:wordWrap/>
              <w:topLinePunct w:val="0"/>
              <w:bidi w:val="0"/>
              <w:spacing w:line="360" w:lineRule="auto"/>
              <w:ind w:left="0" w:leftChars="0" w:firstLine="482" w:firstLineChars="200"/>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工艺简介：</w:t>
            </w:r>
          </w:p>
          <w:p>
            <w:pPr>
              <w:keepNext w:val="0"/>
              <w:keepLines w:val="0"/>
              <w:pageBreakBefore w:val="0"/>
              <w:wordWrap/>
              <w:topLinePunct w:val="0"/>
              <w:bidi w:val="0"/>
              <w:spacing w:line="360" w:lineRule="auto"/>
              <w:ind w:left="0" w:leftChars="0" w:firstLine="482" w:firstLineChars="200"/>
              <w:rPr>
                <w:rFonts w:ascii="宋体" w:hAnsi="宋体" w:eastAsia="宋体" w:cs="宋体"/>
                <w:color w:val="auto"/>
                <w:sz w:val="24"/>
                <w:szCs w:val="24"/>
                <w:highlight w:val="none"/>
                <w:lang w:val="zh-TW" w:eastAsia="zh-TW"/>
              </w:rPr>
            </w:pPr>
            <w:r>
              <w:rPr>
                <w:rFonts w:hint="eastAsia" w:cs="Times New Roman"/>
                <w:b/>
                <w:bCs/>
                <w:color w:val="auto"/>
                <w:sz w:val="24"/>
                <w:highlight w:val="none"/>
                <w:lang w:val="en-US" w:eastAsia="zh-CN"/>
              </w:rPr>
              <w:t>格栅：</w:t>
            </w:r>
            <w:r>
              <w:rPr>
                <w:rFonts w:hint="eastAsia" w:cs="Times New Roman"/>
                <w:color w:val="auto"/>
                <w:sz w:val="24"/>
                <w:highlight w:val="none"/>
                <w:lang w:val="en-US" w:eastAsia="zh-CN"/>
              </w:rPr>
              <w:t>医院食堂废水通过油水分离器隔油后与生活污水、医疗废水等一起进入格栅，</w:t>
            </w:r>
            <w:r>
              <w:rPr>
                <w:rFonts w:ascii="宋体" w:hAnsi="宋体" w:eastAsia="宋体" w:cs="宋体"/>
                <w:color w:val="auto"/>
                <w:sz w:val="24"/>
                <w:szCs w:val="24"/>
                <w:highlight w:val="none"/>
                <w:lang w:val="zh-TW" w:eastAsia="zh-TW"/>
              </w:rPr>
              <w:t>用以去除</w:t>
            </w:r>
            <w:r>
              <w:rPr>
                <w:rFonts w:hint="eastAsia" w:cs="Times New Roman"/>
                <w:b w:val="0"/>
                <w:bCs w:val="0"/>
                <w:color w:val="auto"/>
                <w:sz w:val="24"/>
                <w:highlight w:val="none"/>
                <w:lang w:val="en-US" w:eastAsia="zh-CN"/>
              </w:rPr>
              <w:t>废水</w:t>
            </w:r>
            <w:r>
              <w:rPr>
                <w:rFonts w:ascii="宋体" w:hAnsi="宋体" w:eastAsia="宋体" w:cs="宋体"/>
                <w:color w:val="auto"/>
                <w:sz w:val="24"/>
                <w:szCs w:val="24"/>
                <w:highlight w:val="none"/>
                <w:lang w:val="zh-TW" w:eastAsia="zh-TW"/>
              </w:rPr>
              <w:t>中的软性缠绕物、较大固颗粒杂物及</w:t>
            </w:r>
            <w:r>
              <w:rPr>
                <w:rFonts w:hint="eastAsia" w:ascii="宋体" w:hAnsi="宋体" w:cs="宋体"/>
                <w:color w:val="auto"/>
                <w:sz w:val="24"/>
                <w:szCs w:val="24"/>
                <w:highlight w:val="none"/>
                <w:lang w:val="zh-TW" w:eastAsia="zh-CN"/>
              </w:rPr>
              <w:t>漂浮</w:t>
            </w:r>
            <w:r>
              <w:rPr>
                <w:rFonts w:ascii="宋体" w:hAnsi="宋体" w:eastAsia="宋体" w:cs="宋体"/>
                <w:color w:val="auto"/>
                <w:sz w:val="24"/>
                <w:szCs w:val="24"/>
                <w:highlight w:val="none"/>
                <w:lang w:val="zh-TW" w:eastAsia="zh-TW"/>
              </w:rPr>
              <w:t>物，从而保护后续工作水泵使用寿命并降低系统处理工作负荷。</w:t>
            </w:r>
          </w:p>
          <w:p>
            <w:pPr>
              <w:keepNext w:val="0"/>
              <w:keepLines w:val="0"/>
              <w:pageBreakBefore w:val="0"/>
              <w:wordWrap/>
              <w:topLinePunct w:val="0"/>
              <w:bidi w:val="0"/>
              <w:spacing w:line="360" w:lineRule="auto"/>
              <w:ind w:left="0" w:leftChars="0" w:firstLine="482" w:firstLineChars="200"/>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化粪池：</w:t>
            </w:r>
            <w:r>
              <w:rPr>
                <w:rFonts w:hint="eastAsia" w:cs="Times New Roman"/>
                <w:b w:val="0"/>
                <w:bCs w:val="0"/>
                <w:color w:val="auto"/>
                <w:sz w:val="24"/>
                <w:highlight w:val="none"/>
                <w:lang w:val="en-US" w:eastAsia="zh-CN"/>
              </w:rPr>
              <w:t>废水经格栅处理后进入化粪池，化粪池属于预处理（一级处理），有沉淀杂质，并使大分子有机物水解，成为酸、醇等小分子有机物，改善后续污水处理的作用。</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default" w:cs="Times New Roman"/>
                <w:color w:val="auto"/>
                <w:sz w:val="24"/>
                <w:highlight w:val="none"/>
                <w:lang w:val="en-US" w:eastAsia="zh-CN"/>
              </w:rPr>
            </w:pPr>
            <w:r>
              <w:rPr>
                <w:rFonts w:hint="eastAsia" w:cs="Times New Roman"/>
                <w:b/>
                <w:bCs/>
                <w:color w:val="auto"/>
                <w:sz w:val="24"/>
                <w:highlight w:val="none"/>
                <w:lang w:val="en-US" w:eastAsia="zh-CN"/>
              </w:rPr>
              <w:t>调节池：</w:t>
            </w:r>
            <w:r>
              <w:rPr>
                <w:rFonts w:hint="eastAsia" w:cs="Times New Roman"/>
                <w:color w:val="auto"/>
                <w:sz w:val="24"/>
                <w:highlight w:val="none"/>
                <w:lang w:val="en-US" w:eastAsia="zh-CN"/>
              </w:rPr>
              <w:t>设置调节池的目的是使废水的水质、水量得到一定程度的缓冲和均衡，为后续处理工艺创造一个相对稳定的工作环境，减轻后续处理负担。均质的污水提升至后续处理。</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eastAsia" w:cs="Times New Roman"/>
                <w:color w:val="auto"/>
                <w:sz w:val="24"/>
                <w:highlight w:val="none"/>
                <w:lang w:val="en-US" w:eastAsia="zh-CN"/>
              </w:rPr>
            </w:pPr>
            <w:r>
              <w:rPr>
                <w:rFonts w:hint="eastAsia" w:cs="Times New Roman"/>
                <w:b/>
                <w:bCs/>
                <w:color w:val="auto"/>
                <w:sz w:val="24"/>
                <w:highlight w:val="none"/>
                <w:lang w:val="en-US" w:eastAsia="zh-CN"/>
              </w:rPr>
              <w:t>A池（缺氧池）：</w:t>
            </w:r>
            <w:r>
              <w:rPr>
                <w:rFonts w:hint="eastAsia" w:cs="Times New Roman"/>
                <w:color w:val="auto"/>
                <w:sz w:val="24"/>
                <w:highlight w:val="none"/>
                <w:lang w:val="en-US" w:eastAsia="zh-CN"/>
              </w:rPr>
              <w:t>在缺氧池中主要进行着生物脱氮作用，生物脱氮包含硝化及反硝化两种过程。硝化过程是在硝化菌的作用下，将氨氮转化为硝酸氮。硝化菌是化能自养菌，其生理活动不需要有机性营养物质，它从二氧化碳获取碳源，从无机物的氧化中获取能量。而反硝化过程是在反硝化菌的作用下，将硝酸氮和亚硝酸氮还原为氮气。反硝化菌是异养兼性厌氧菌，它只能在无分子态氧的情况下，利用硝酸和亚硝酸盐离子中的氧进行呼吸，使硝酸还原。缺氧池的主要功用就是进行反硝化过程，同时，好氧池中的循环混合液回流至缺氧池，回流污泥中的反硝化菌利用污水中的有机物为碳源，将回流混合液中的大量硝酸氮还原成氮气，以达到脱氮的目的。</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eastAsia" w:cs="Times New Roman"/>
                <w:color w:val="auto"/>
                <w:sz w:val="24"/>
                <w:highlight w:val="none"/>
                <w:lang w:val="en-US" w:eastAsia="zh-CN"/>
              </w:rPr>
            </w:pPr>
            <w:r>
              <w:rPr>
                <w:rFonts w:hint="eastAsia" w:cs="Times New Roman"/>
                <w:b/>
                <w:bCs/>
                <w:color w:val="auto"/>
                <w:sz w:val="24"/>
                <w:highlight w:val="none"/>
                <w:lang w:val="en-US" w:eastAsia="zh-CN"/>
              </w:rPr>
              <w:t>O池（好氧池）：</w:t>
            </w:r>
            <w:r>
              <w:rPr>
                <w:rFonts w:hint="eastAsia" w:cs="Times New Roman"/>
                <w:color w:val="auto"/>
                <w:sz w:val="24"/>
                <w:highlight w:val="none"/>
                <w:lang w:val="en-US" w:eastAsia="zh-CN"/>
              </w:rPr>
              <w:t>混合液从缺氧反应区进入好氧反应区，这一反应区单元是多功能的，去除 BOD</w:t>
            </w:r>
            <w:r>
              <w:rPr>
                <w:rFonts w:hint="eastAsia" w:cs="Times New Roman"/>
                <w:color w:val="auto"/>
                <w:sz w:val="24"/>
                <w:highlight w:val="none"/>
                <w:vertAlign w:val="subscript"/>
                <w:lang w:val="en-US" w:eastAsia="zh-CN"/>
              </w:rPr>
              <w:t>5</w:t>
            </w:r>
            <w:r>
              <w:rPr>
                <w:rFonts w:hint="eastAsia" w:cs="Times New Roman"/>
                <w:color w:val="auto"/>
                <w:sz w:val="24"/>
                <w:highlight w:val="none"/>
                <w:lang w:val="en-US" w:eastAsia="zh-CN"/>
              </w:rPr>
              <w:t>、硝化和吸收磷等项反应都在本反应器内进行。在好氧池污水中残留的有机物被去除，进一步降解COD；通过硝化过程将氨氮转化成硝酸盐，通过混合液回流至缺氧池；利用聚磷菌（小型革兰式阴性短杆菌）好氧吸P厌氧 P作用，污水中的有机物被氧化分解，同时污水中的磷以聚合磷酸盐的形式贮藏在菌体内而形成高磷污泥，通过剩余污泥排出，具有较好的除磷效果。</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eastAsia" w:cs="Times New Roman"/>
                <w:color w:val="auto"/>
                <w:sz w:val="24"/>
                <w:highlight w:val="none"/>
                <w:lang w:val="en-US" w:eastAsia="zh-CN"/>
              </w:rPr>
            </w:pPr>
            <w:r>
              <w:rPr>
                <w:rFonts w:hint="eastAsia" w:cs="Times New Roman"/>
                <w:b/>
                <w:bCs/>
                <w:color w:val="auto"/>
                <w:sz w:val="24"/>
                <w:highlight w:val="none"/>
                <w:lang w:val="en-US" w:eastAsia="zh-CN"/>
              </w:rPr>
              <w:t>沉淀池：</w:t>
            </w:r>
            <w:r>
              <w:rPr>
                <w:rFonts w:hint="eastAsia" w:cs="Times New Roman"/>
                <w:color w:val="auto"/>
                <w:sz w:val="24"/>
                <w:highlight w:val="none"/>
                <w:lang w:val="en-US" w:eastAsia="zh-CN"/>
              </w:rPr>
              <w:t>好氧池废水进入沉淀池，将好氧细菌形成的好氧菌体及死亡脱落的SS予以去除，沉淀下来的污泥外排至污泥池，完成P的去除。</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default" w:cs="Times New Roman"/>
                <w:color w:val="auto"/>
                <w:sz w:val="24"/>
                <w:highlight w:val="none"/>
                <w:lang w:val="en-US" w:eastAsia="zh-CN"/>
              </w:rPr>
            </w:pPr>
            <w:r>
              <w:rPr>
                <w:rFonts w:hint="eastAsia" w:cs="Times New Roman"/>
                <w:b/>
                <w:bCs/>
                <w:color w:val="auto"/>
                <w:sz w:val="24"/>
                <w:highlight w:val="none"/>
                <w:lang w:val="en-US" w:eastAsia="zh-CN"/>
              </w:rPr>
              <w:t>接触消毒池：</w:t>
            </w:r>
            <w:r>
              <w:rPr>
                <w:color w:val="auto"/>
                <w:sz w:val="24"/>
                <w:highlight w:val="none"/>
              </w:rPr>
              <w:t>废水中含有许多细菌、病毒微生物等，在经过前段的生化处理后，微生物指标可能达不到排放要求，因此，必须在末端</w:t>
            </w:r>
            <w:r>
              <w:rPr>
                <w:rFonts w:hint="eastAsia"/>
                <w:color w:val="auto"/>
                <w:sz w:val="24"/>
                <w:highlight w:val="none"/>
                <w:lang w:val="en-US" w:eastAsia="zh-CN"/>
              </w:rPr>
              <w:t>接触</w:t>
            </w:r>
            <w:r>
              <w:rPr>
                <w:color w:val="auto"/>
                <w:sz w:val="24"/>
                <w:highlight w:val="none"/>
              </w:rPr>
              <w:t>消毒池中进行消毒，去除水中的大肠菌群等病菌，同时进一步氧化废水中有机污染物，更稳妥保障污水达标排放。</w:t>
            </w:r>
            <w:r>
              <w:rPr>
                <w:rFonts w:hint="eastAsia"/>
                <w:color w:val="auto"/>
                <w:sz w:val="24"/>
                <w:highlight w:val="none"/>
              </w:rPr>
              <w:t>本项目</w:t>
            </w:r>
            <w:r>
              <w:rPr>
                <w:rFonts w:hint="eastAsia"/>
                <w:color w:val="auto"/>
                <w:sz w:val="24"/>
                <w:highlight w:val="none"/>
                <w:lang w:eastAsia="zh-CN"/>
              </w:rPr>
              <w:t>一体化污水处理设施</w:t>
            </w:r>
            <w:r>
              <w:rPr>
                <w:rFonts w:hint="eastAsia"/>
                <w:color w:val="auto"/>
                <w:sz w:val="24"/>
                <w:highlight w:val="none"/>
              </w:rPr>
              <w:t>消毒采用</w:t>
            </w:r>
            <w:r>
              <w:rPr>
                <w:rFonts w:hint="eastAsia"/>
                <w:color w:val="auto"/>
                <w:sz w:val="24"/>
                <w:highlight w:val="none"/>
                <w:lang w:val="zh-CN"/>
              </w:rPr>
              <w:t>次氯酸钠</w:t>
            </w:r>
            <w:r>
              <w:rPr>
                <w:rFonts w:hint="eastAsia"/>
                <w:color w:val="auto"/>
                <w:sz w:val="24"/>
                <w:highlight w:val="none"/>
              </w:rPr>
              <w:t>进行消毒，次氯酸钠</w:t>
            </w:r>
            <w:r>
              <w:rPr>
                <w:rFonts w:hint="eastAsia"/>
                <w:color w:val="auto"/>
                <w:sz w:val="24"/>
                <w:highlight w:val="none"/>
                <w:lang w:val="en-US" w:eastAsia="zh-CN"/>
              </w:rPr>
              <w:t>溶液</w:t>
            </w:r>
            <w:r>
              <w:rPr>
                <w:rFonts w:hint="eastAsia"/>
                <w:color w:val="auto"/>
                <w:sz w:val="24"/>
                <w:highlight w:val="none"/>
              </w:rPr>
              <w:t>制备后采用全自动投加装置以确保精准投加，避免投加过少导致消毒效果不佳或投加过多导致出水余氯超标，为保证足够的消毒剂投加量，建设单位应安排专人每天记录排水量和药剂消耗情况，做好台账。同时，采用次氯酸钠进行消毒时，应注意使用药剂的有效氯含量，参考的有效氯投加量为5</w:t>
            </w:r>
            <w:r>
              <w:rPr>
                <w:color w:val="auto"/>
                <w:sz w:val="24"/>
                <w:highlight w:val="none"/>
              </w:rPr>
              <w:t>0</w:t>
            </w:r>
            <w:r>
              <w:rPr>
                <w:rFonts w:hint="eastAsia"/>
                <w:color w:val="auto"/>
                <w:sz w:val="24"/>
                <w:highlight w:val="none"/>
              </w:rPr>
              <w:t>mg/</w:t>
            </w:r>
            <w:r>
              <w:rPr>
                <w:color w:val="auto"/>
                <w:sz w:val="24"/>
                <w:highlight w:val="none"/>
              </w:rPr>
              <w:t>L</w:t>
            </w:r>
            <w:r>
              <w:rPr>
                <w:rFonts w:hint="eastAsia"/>
                <w:color w:val="auto"/>
                <w:sz w:val="24"/>
                <w:highlight w:val="none"/>
              </w:rPr>
              <w:t>，消毒接触池的接触时间≥</w:t>
            </w:r>
            <w:r>
              <w:rPr>
                <w:color w:val="auto"/>
                <w:sz w:val="24"/>
                <w:highlight w:val="none"/>
              </w:rPr>
              <w:t>1.5</w:t>
            </w:r>
            <w:r>
              <w:rPr>
                <w:rFonts w:hint="eastAsia"/>
                <w:color w:val="auto"/>
                <w:sz w:val="24"/>
                <w:highlight w:val="none"/>
              </w:rPr>
              <w:t>h，余氯量大于6</w:t>
            </w:r>
            <w:r>
              <w:rPr>
                <w:color w:val="auto"/>
                <w:sz w:val="24"/>
                <w:highlight w:val="none"/>
              </w:rPr>
              <w:t>.5</w:t>
            </w:r>
            <w:r>
              <w:rPr>
                <w:rFonts w:hint="eastAsia"/>
                <w:color w:val="auto"/>
                <w:sz w:val="24"/>
                <w:highlight w:val="none"/>
              </w:rPr>
              <w:t>mg</w:t>
            </w:r>
            <w:r>
              <w:rPr>
                <w:color w:val="auto"/>
                <w:sz w:val="24"/>
                <w:highlight w:val="none"/>
              </w:rPr>
              <w:t>/L</w:t>
            </w:r>
            <w:r>
              <w:rPr>
                <w:rFonts w:hint="eastAsia"/>
                <w:color w:val="auto"/>
                <w:sz w:val="24"/>
                <w:highlight w:val="none"/>
              </w:rPr>
              <w:t>（以游离氯计）。</w:t>
            </w:r>
          </w:p>
          <w:p>
            <w:pPr>
              <w:keepNext w:val="0"/>
              <w:keepLines w:val="0"/>
              <w:pageBreakBefore w:val="0"/>
              <w:numPr>
                <w:ilvl w:val="0"/>
                <w:numId w:val="0"/>
              </w:numPr>
              <w:wordWrap/>
              <w:topLinePunct w:val="0"/>
              <w:bidi w:val="0"/>
              <w:adjustRightInd w:val="0"/>
              <w:snapToGrid w:val="0"/>
              <w:spacing w:line="360" w:lineRule="auto"/>
              <w:ind w:left="0" w:leftChars="0" w:firstLine="482" w:firstLineChars="200"/>
              <w:rPr>
                <w:rFonts w:hint="eastAsia"/>
                <w:color w:val="auto"/>
                <w:sz w:val="24"/>
                <w:highlight w:val="none"/>
                <w:lang w:val="en-US" w:eastAsia="zh-CN"/>
              </w:rPr>
            </w:pPr>
            <w:r>
              <w:rPr>
                <w:rFonts w:hint="eastAsia"/>
                <w:b/>
                <w:bCs/>
                <w:color w:val="auto"/>
                <w:sz w:val="24"/>
                <w:highlight w:val="none"/>
              </w:rPr>
              <w:t>次氯酸钠</w:t>
            </w:r>
            <w:r>
              <w:rPr>
                <w:rFonts w:hint="eastAsia"/>
                <w:b/>
                <w:bCs/>
                <w:color w:val="auto"/>
                <w:sz w:val="24"/>
                <w:highlight w:val="none"/>
                <w:lang w:val="en-US" w:eastAsia="zh-CN"/>
              </w:rPr>
              <w:t>消毒原理：</w:t>
            </w:r>
            <w:r>
              <w:rPr>
                <w:rFonts w:hint="eastAsia"/>
                <w:color w:val="auto"/>
                <w:sz w:val="24"/>
                <w:highlight w:val="none"/>
                <w:lang w:val="en-US" w:eastAsia="zh-CN"/>
              </w:rPr>
              <w:t>次氯酸钠属于高效的含氯消毒剂，反应过程包括次氯酸的作用、新生氧作用和氯化作用，次氯酸的氧化作用是含氯消毒剂的最主要的杀菌机理，含氯消毒剂在水中形成次氯酸，作用于菌体蛋白质，次氯酸不仅可与细胞壁发生作用，且因分子小，不带电荷，故侵入细胞内与蛋白质发生氧化作用或破坏其磷酸脱氢酶，使糖代谢失调而致细胞死亡。</w:t>
            </w:r>
          </w:p>
          <w:p>
            <w:pPr>
              <w:keepNext w:val="0"/>
              <w:keepLines w:val="0"/>
              <w:pageBreakBefore w:val="0"/>
              <w:numPr>
                <w:ilvl w:val="0"/>
                <w:numId w:val="0"/>
              </w:numPr>
              <w:wordWrap/>
              <w:topLinePunct w:val="0"/>
              <w:bidi w:val="0"/>
              <w:adjustRightInd w:val="0"/>
              <w:snapToGrid w:val="0"/>
              <w:spacing w:line="360" w:lineRule="auto"/>
              <w:ind w:left="0" w:leftChars="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本项目污水处理处理工艺流程见图4-</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所示。</w:t>
            </w:r>
          </w:p>
          <w:p>
            <w:pPr>
              <w:keepNext w:val="0"/>
              <w:keepLines w:val="0"/>
              <w:pageBreakBefore w:val="0"/>
              <w:numPr>
                <w:ilvl w:val="0"/>
                <w:numId w:val="0"/>
              </w:numPr>
              <w:wordWrap/>
              <w:topLinePunct w:val="0"/>
              <w:bidi w:val="0"/>
              <w:adjustRightInd w:val="0"/>
              <w:snapToGrid w:val="0"/>
              <w:spacing w:line="360" w:lineRule="auto"/>
              <w:ind w:left="0" w:leftChars="0"/>
              <w:jc w:val="center"/>
              <w:rPr>
                <w:rFonts w:hint="eastAsia" w:cs="Times New Roman"/>
                <w:color w:val="auto"/>
                <w:sz w:val="24"/>
                <w:highlight w:val="none"/>
                <w:lang w:val="en-US" w:eastAsia="zh-CN"/>
              </w:rPr>
            </w:pPr>
            <w:r>
              <w:rPr>
                <w:rFonts w:hint="eastAsia" w:cs="Times New Roman"/>
                <w:color w:val="auto"/>
                <w:sz w:val="24"/>
                <w:highlight w:val="none"/>
                <w:lang w:val="en-US" w:eastAsia="zh-CN"/>
              </w:rPr>
              <w:object>
                <v:shape id="_x0000_i1031" o:spt="75" type="#_x0000_t75" style="height:363.75pt;width:346.5pt;" o:ole="t" filled="f" o:preferrelative="t" stroked="f" coordsize="21600,21600">
                  <v:path/>
                  <v:fill on="f" focussize="0,0"/>
                  <v:stroke on="f"/>
                  <v:imagedata r:id="rId24" o:title=""/>
                  <o:lock v:ext="edit" aspectratio="f"/>
                  <w10:wrap type="none"/>
                  <w10:anchorlock/>
                </v:shape>
                <o:OLEObject Type="Embed" ProgID="Visio.Drawing.11" ShapeID="_x0000_i1031" DrawAspect="Content" ObjectID="_1468075731" r:id="rId23">
                  <o:LockedField>false</o:LockedField>
                </o:OLEObject>
              </w:object>
            </w:r>
          </w:p>
          <w:p>
            <w:pPr>
              <w:keepNext w:val="0"/>
              <w:keepLines w:val="0"/>
              <w:pageBreakBefore w:val="0"/>
              <w:numPr>
                <w:ilvl w:val="0"/>
                <w:numId w:val="0"/>
              </w:numPr>
              <w:wordWrap/>
              <w:topLinePunct w:val="0"/>
              <w:bidi w:val="0"/>
              <w:adjustRightInd w:val="0"/>
              <w:snapToGrid w:val="0"/>
              <w:spacing w:line="360" w:lineRule="auto"/>
              <w:ind w:left="0" w:leftChars="0"/>
              <w:jc w:val="center"/>
              <w:rPr>
                <w:rFonts w:hint="eastAsia" w:ascii="黑体" w:hAnsi="黑体" w:eastAsia="黑体" w:cs="黑体"/>
                <w:color w:val="auto"/>
                <w:sz w:val="21"/>
                <w:szCs w:val="18"/>
                <w:highlight w:val="none"/>
                <w:lang w:val="en-US" w:eastAsia="zh-CN"/>
              </w:rPr>
            </w:pPr>
            <w:r>
              <w:rPr>
                <w:rFonts w:hint="eastAsia" w:ascii="黑体" w:hAnsi="黑体" w:eastAsia="黑体" w:cs="黑体"/>
                <w:color w:val="auto"/>
                <w:sz w:val="21"/>
                <w:szCs w:val="18"/>
                <w:highlight w:val="none"/>
                <w:lang w:val="en-US" w:eastAsia="zh-CN"/>
              </w:rPr>
              <w:t>图4-2 项目污水处理工艺流程图</w:t>
            </w:r>
          </w:p>
          <w:p>
            <w:pPr>
              <w:keepNext w:val="0"/>
              <w:keepLines w:val="0"/>
              <w:pageBreakBefore w:val="0"/>
              <w:numPr>
                <w:ilvl w:val="0"/>
                <w:numId w:val="0"/>
              </w:numPr>
              <w:wordWrap/>
              <w:topLinePunct w:val="0"/>
              <w:bidi w:val="0"/>
              <w:adjustRightInd w:val="0"/>
              <w:snapToGrid w:val="0"/>
              <w:spacing w:line="360" w:lineRule="auto"/>
              <w:ind w:left="0" w:leftChars="0" w:firstLine="480" w:firstLineChars="200"/>
              <w:rPr>
                <w:rFonts w:hint="default" w:cs="Times New Roman"/>
                <w:b/>
                <w:bCs/>
                <w:color w:val="auto"/>
                <w:sz w:val="24"/>
                <w:highlight w:val="none"/>
                <w:lang w:val="en-US" w:eastAsia="zh-CN"/>
              </w:rPr>
            </w:pPr>
            <w:r>
              <w:rPr>
                <w:rFonts w:hint="eastAsia"/>
                <w:color w:val="auto"/>
                <w:sz w:val="24"/>
                <w:highlight w:val="none"/>
                <w:lang w:val="en-US" w:eastAsia="zh-CN"/>
              </w:rPr>
              <w:t xml:space="preserve"> </w:t>
            </w:r>
            <w:r>
              <w:rPr>
                <w:rFonts w:hint="eastAsia"/>
                <w:b/>
                <w:color w:val="auto"/>
                <w:sz w:val="24"/>
                <w:highlight w:val="none"/>
                <w:lang w:val="en-US" w:eastAsia="zh-CN"/>
              </w:rPr>
              <w:t>②</w:t>
            </w:r>
            <w:r>
              <w:rPr>
                <w:rFonts w:hint="eastAsia" w:cs="Times New Roman"/>
                <w:b/>
                <w:bCs/>
                <w:color w:val="auto"/>
                <w:sz w:val="24"/>
                <w:highlight w:val="none"/>
                <w:lang w:val="en-US" w:eastAsia="zh-CN"/>
              </w:rPr>
              <w:t>一体化污水处理设施运行环境管理要求</w:t>
            </w:r>
          </w:p>
          <w:p>
            <w:pPr>
              <w:keepNext w:val="0"/>
              <w:keepLines w:val="0"/>
              <w:pageBreakBefore w:val="0"/>
              <w:numPr>
                <w:ilvl w:val="0"/>
                <w:numId w:val="0"/>
              </w:numPr>
              <w:wordWrap/>
              <w:topLinePunct w:val="0"/>
              <w:bidi w:val="0"/>
              <w:adjustRightInd w:val="0"/>
              <w:snapToGrid w:val="0"/>
              <w:spacing w:line="360" w:lineRule="auto"/>
              <w:ind w:left="0" w:leftChars="0"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运行管理人员必须熟识本站处理工艺和设施、设备的运行要求与技术指标，应当经常巡查检查构筑物、设备、电器、仪表的运行状况；一体化污水处理设施必须加强水质和污泥管理；运行管理人员发觉运行不正常时，应准时处理或反映；每天做好巡查台账，定期送样进行水质检测。</w:t>
            </w:r>
          </w:p>
          <w:p>
            <w:pPr>
              <w:keepNext w:val="0"/>
              <w:keepLines w:val="0"/>
              <w:pageBreakBefore w:val="0"/>
              <w:kinsoku/>
              <w:wordWrap/>
              <w:overflowPunct/>
              <w:topLinePunct w:val="0"/>
              <w:autoSpaceDE/>
              <w:autoSpaceDN/>
              <w:bidi w:val="0"/>
              <w:spacing w:line="360" w:lineRule="auto"/>
              <w:ind w:left="0" w:leftChars="0" w:firstLine="482" w:firstLineChars="200"/>
              <w:rPr>
                <w:rFonts w:hint="default"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b/>
                <w:color w:val="auto"/>
                <w:sz w:val="24"/>
                <w:szCs w:val="24"/>
                <w:highlight w:val="none"/>
                <w:lang w:eastAsia="zh-CN"/>
              </w:rPr>
              <w:t>（</w:t>
            </w:r>
            <w:r>
              <w:rPr>
                <w:rFonts w:hint="eastAsia" w:ascii="Times New Roman" w:hAnsi="Times New Roman" w:cs="Times New Roman" w:eastAsiaTheme="minorEastAsia"/>
                <w:b/>
                <w:color w:val="auto"/>
                <w:sz w:val="24"/>
                <w:szCs w:val="24"/>
                <w:highlight w:val="none"/>
                <w:lang w:val="en-US" w:eastAsia="zh-CN"/>
              </w:rPr>
              <w:t>2</w:t>
            </w:r>
            <w:r>
              <w:rPr>
                <w:rFonts w:hint="eastAsia" w:ascii="Times New Roman" w:hAnsi="Times New Roman" w:cs="Times New Roman" w:eastAsiaTheme="minorEastAsia"/>
                <w:b/>
                <w:color w:val="auto"/>
                <w:sz w:val="24"/>
                <w:szCs w:val="24"/>
                <w:highlight w:val="none"/>
                <w:lang w:eastAsia="zh-CN"/>
              </w:rPr>
              <w:t>）</w:t>
            </w:r>
            <w:r>
              <w:rPr>
                <w:rFonts w:hint="default" w:ascii="Times New Roman" w:hAnsi="Times New Roman" w:cs="Times New Roman" w:eastAsiaTheme="minorEastAsia"/>
                <w:b/>
                <w:color w:val="auto"/>
                <w:sz w:val="24"/>
                <w:szCs w:val="24"/>
                <w:highlight w:val="none"/>
              </w:rPr>
              <w:t>废水治理设施、排放口基本信息表</w:t>
            </w:r>
          </w:p>
          <w:p>
            <w:pPr>
              <w:keepNext w:val="0"/>
              <w:keepLines w:val="0"/>
              <w:pageBreakBefore w:val="0"/>
              <w:kinsoku/>
              <w:wordWrap/>
              <w:overflowPunct/>
              <w:topLinePunct w:val="0"/>
              <w:autoSpaceDE/>
              <w:autoSpaceDN/>
              <w:bidi w:val="0"/>
              <w:spacing w:line="360" w:lineRule="auto"/>
              <w:ind w:left="0" w:leftChars="0"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本项目废水治理设施、排放口基本信息见下表：</w:t>
            </w:r>
          </w:p>
          <w:p>
            <w:pPr>
              <w:keepNext w:val="0"/>
              <w:keepLines w:val="0"/>
              <w:pageBreakBefore w:val="0"/>
              <w:wordWrap/>
              <w:topLinePunct w:val="0"/>
              <w:bidi w:val="0"/>
              <w:snapToGrid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default" w:ascii="Times New Roman" w:hAnsi="Times New Roman" w:eastAsia="黑体" w:cs="Times New Roman"/>
                <w:color w:val="auto"/>
                <w:szCs w:val="21"/>
                <w:highlight w:val="none"/>
                <w:lang w:val="en-US" w:eastAsia="zh-CN"/>
              </w:rPr>
              <w:t>4</w:t>
            </w:r>
            <w:r>
              <w:rPr>
                <w:rFonts w:hint="default" w:ascii="Times New Roman" w:hAnsi="Times New Roman" w:eastAsia="黑体" w:cs="Times New Roman"/>
                <w:color w:val="auto"/>
                <w:szCs w:val="21"/>
                <w:highlight w:val="none"/>
              </w:rPr>
              <w:t xml:space="preserve"> 废水治理措施一览表</w:t>
            </w:r>
          </w:p>
          <w:tbl>
            <w:tblPr>
              <w:tblStyle w:val="20"/>
              <w:tblW w:w="4970"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91"/>
              <w:gridCol w:w="1309"/>
              <w:gridCol w:w="2255"/>
              <w:gridCol w:w="1148"/>
              <w:gridCol w:w="910"/>
              <w:gridCol w:w="462"/>
              <w:gridCol w:w="64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废水类别</w:t>
                  </w:r>
                </w:p>
              </w:tc>
              <w:tc>
                <w:tcPr>
                  <w:tcW w:w="660"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污染物种类</w:t>
                  </w:r>
                </w:p>
              </w:tc>
              <w:tc>
                <w:tcPr>
                  <w:tcW w:w="3114" w:type="pct"/>
                  <w:gridSpan w:val="4"/>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污染治理设施</w:t>
                  </w:r>
                </w:p>
              </w:tc>
              <w:tc>
                <w:tcPr>
                  <w:tcW w:w="256"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排放方式</w:t>
                  </w:r>
                </w:p>
              </w:tc>
              <w:tc>
                <w:tcPr>
                  <w:tcW w:w="35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w:t>
                  </w:r>
                </w:p>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660"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72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124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处理能力</w:t>
                  </w:r>
                </w:p>
              </w:tc>
              <w:tc>
                <w:tcPr>
                  <w:tcW w:w="63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治理工艺</w:t>
                  </w:r>
                </w:p>
              </w:tc>
              <w:tc>
                <w:tcPr>
                  <w:tcW w:w="50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是否为可行性技术</w:t>
                  </w:r>
                </w:p>
              </w:tc>
              <w:tc>
                <w:tcPr>
                  <w:tcW w:w="25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5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生活污水（含食堂废水）</w:t>
                  </w:r>
                </w:p>
              </w:tc>
              <w:tc>
                <w:tcPr>
                  <w:tcW w:w="66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pH、COD、BOD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-N、动植物油、总磷等</w:t>
                  </w:r>
                </w:p>
              </w:tc>
              <w:tc>
                <w:tcPr>
                  <w:tcW w:w="725"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油水分离器</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化粪池</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一体化污水处理设施</w:t>
                  </w:r>
                </w:p>
              </w:tc>
              <w:tc>
                <w:tcPr>
                  <w:tcW w:w="1249"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油水分离器</w:t>
                  </w:r>
                  <w:r>
                    <w:rPr>
                      <w:rFonts w:hint="default" w:ascii="Times New Roman" w:hAnsi="Times New Roman" w:cs="Times New Roman"/>
                      <w:color w:val="auto"/>
                      <w:szCs w:val="21"/>
                      <w:highlight w:val="none"/>
                    </w:rPr>
                    <w:t>（1个，容积</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化粪池</w:t>
                  </w:r>
                  <w:r>
                    <w:rPr>
                      <w:rFonts w:hint="default" w:ascii="Times New Roman" w:hAnsi="Times New Roman" w:cs="Times New Roman"/>
                      <w:color w:val="auto"/>
                      <w:szCs w:val="21"/>
                      <w:highlight w:val="none"/>
                    </w:rPr>
                    <w:t>（1个，容积</w:t>
                  </w:r>
                  <w:r>
                    <w:rPr>
                      <w:rFonts w:hint="eastAsia" w:cs="Times New Roman"/>
                      <w:color w:val="auto"/>
                      <w:szCs w:val="21"/>
                      <w:highlight w:val="none"/>
                      <w:lang w:val="en-US" w:eastAsia="zh-CN"/>
                    </w:rPr>
                    <w:t>40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80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r>
                    <w:rPr>
                      <w:rFonts w:hint="eastAsia" w:cs="Times New Roman"/>
                      <w:color w:val="auto"/>
                      <w:szCs w:val="21"/>
                      <w:highlight w:val="none"/>
                      <w:lang w:eastAsia="zh-CN"/>
                    </w:rPr>
                    <w:t>一体化污水处理设施</w:t>
                  </w:r>
                </w:p>
              </w:tc>
              <w:tc>
                <w:tcPr>
                  <w:tcW w:w="63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预处理+AO+沉淀+消毒</w:t>
                  </w:r>
                </w:p>
              </w:tc>
              <w:tc>
                <w:tcPr>
                  <w:tcW w:w="50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是</w:t>
                  </w:r>
                </w:p>
              </w:tc>
              <w:tc>
                <w:tcPr>
                  <w:tcW w:w="256"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间接排放</w:t>
                  </w:r>
                </w:p>
              </w:tc>
              <w:tc>
                <w:tcPr>
                  <w:tcW w:w="35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宣汉县城市生活污水处理厂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医疗废水</w:t>
                  </w:r>
                </w:p>
              </w:tc>
              <w:tc>
                <w:tcPr>
                  <w:tcW w:w="660"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pH、COD、BOD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-N、总磷、粪大肠菌群等</w:t>
                  </w:r>
                </w:p>
              </w:tc>
              <w:tc>
                <w:tcPr>
                  <w:tcW w:w="725"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化粪池</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一体化污水处理设施</w:t>
                  </w:r>
                </w:p>
              </w:tc>
              <w:tc>
                <w:tcPr>
                  <w:tcW w:w="124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化粪池</w:t>
                  </w:r>
                  <w:r>
                    <w:rPr>
                      <w:rFonts w:hint="default" w:ascii="Times New Roman" w:hAnsi="Times New Roman" w:cs="Times New Roman"/>
                      <w:color w:val="auto"/>
                      <w:szCs w:val="21"/>
                      <w:highlight w:val="none"/>
                    </w:rPr>
                    <w:t>（1个，容积</w:t>
                  </w:r>
                  <w:r>
                    <w:rPr>
                      <w:rFonts w:hint="eastAsia" w:cs="Times New Roman"/>
                      <w:color w:val="auto"/>
                      <w:szCs w:val="21"/>
                      <w:highlight w:val="none"/>
                      <w:lang w:val="en-US" w:eastAsia="zh-CN"/>
                    </w:rPr>
                    <w:t>40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80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r>
                    <w:rPr>
                      <w:rFonts w:hint="eastAsia" w:cs="Times New Roman"/>
                      <w:color w:val="auto"/>
                      <w:szCs w:val="21"/>
                      <w:highlight w:val="none"/>
                      <w:lang w:eastAsia="zh-CN"/>
                    </w:rPr>
                    <w:t>一体化污水处理设施</w:t>
                  </w:r>
                </w:p>
              </w:tc>
              <w:tc>
                <w:tcPr>
                  <w:tcW w:w="63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预处理+AO+沉淀+消毒</w:t>
                  </w:r>
                </w:p>
              </w:tc>
              <w:tc>
                <w:tcPr>
                  <w:tcW w:w="50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是</w:t>
                  </w:r>
                </w:p>
              </w:tc>
              <w:tc>
                <w:tcPr>
                  <w:tcW w:w="25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55" w:type="pct"/>
                  <w:vMerge w:val="continue"/>
                  <w:noWrap w:val="0"/>
                  <w:vAlign w:val="center"/>
                </w:tcPr>
                <w:p>
                  <w:pPr>
                    <w:keepNext w:val="0"/>
                    <w:keepLines w:val="0"/>
                    <w:pageBreakBefore w:val="0"/>
                    <w:wordWrap/>
                    <w:topLinePunct w:val="0"/>
                    <w:bidi w:val="0"/>
                    <w:spacing w:line="240" w:lineRule="auto"/>
                    <w:ind w:left="0" w:leftChars="0"/>
                    <w:jc w:val="center"/>
                    <w:rPr>
                      <w:rFonts w:hint="eastAsia" w:cs="Times New Roman"/>
                      <w:color w:val="auto"/>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其他废水</w:t>
                  </w:r>
                </w:p>
              </w:tc>
              <w:tc>
                <w:tcPr>
                  <w:tcW w:w="660"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725"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化粪池</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一体化污水处理设施</w:t>
                  </w:r>
                </w:p>
              </w:tc>
              <w:tc>
                <w:tcPr>
                  <w:tcW w:w="1249"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化粪池</w:t>
                  </w:r>
                  <w:r>
                    <w:rPr>
                      <w:rFonts w:hint="default" w:ascii="Times New Roman" w:hAnsi="Times New Roman" w:cs="Times New Roman"/>
                      <w:color w:val="auto"/>
                      <w:szCs w:val="21"/>
                      <w:highlight w:val="none"/>
                    </w:rPr>
                    <w:t>（1个，容积</w:t>
                  </w:r>
                  <w:r>
                    <w:rPr>
                      <w:rFonts w:hint="eastAsia" w:cs="Times New Roman"/>
                      <w:color w:val="auto"/>
                      <w:szCs w:val="21"/>
                      <w:highlight w:val="none"/>
                      <w:lang w:val="en-US" w:eastAsia="zh-CN"/>
                    </w:rPr>
                    <w:t>40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80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r>
                    <w:rPr>
                      <w:rFonts w:hint="eastAsia" w:cs="Times New Roman"/>
                      <w:color w:val="auto"/>
                      <w:szCs w:val="21"/>
                      <w:highlight w:val="none"/>
                      <w:lang w:eastAsia="zh-CN"/>
                    </w:rPr>
                    <w:t>一体化污水处理设施</w:t>
                  </w:r>
                </w:p>
              </w:tc>
              <w:tc>
                <w:tcPr>
                  <w:tcW w:w="63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预处理+AO+沉淀+消毒</w:t>
                  </w:r>
                </w:p>
              </w:tc>
              <w:tc>
                <w:tcPr>
                  <w:tcW w:w="50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c>
                <w:tcPr>
                  <w:tcW w:w="25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5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r>
          </w:tbl>
          <w:p>
            <w:pPr>
              <w:keepNext w:val="0"/>
              <w:keepLines w:val="0"/>
              <w:pageBreakBefore w:val="0"/>
              <w:wordWrap/>
              <w:topLinePunct w:val="0"/>
              <w:bidi w:val="0"/>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3、废水治理措施可行性分析</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1</w:t>
            </w: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油水分离器</w:t>
            </w:r>
            <w:r>
              <w:rPr>
                <w:rFonts w:hint="default" w:ascii="Times New Roman" w:hAnsi="Times New Roman" w:cs="Times New Roman"/>
                <w:b/>
                <w:bCs/>
                <w:color w:val="auto"/>
                <w:sz w:val="24"/>
                <w:highlight w:val="none"/>
              </w:rPr>
              <w:t>的环境可行性</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val="en-US" w:eastAsia="zh-CN"/>
              </w:rPr>
              <w:t>拟建设</w:t>
            </w:r>
            <w:r>
              <w:rPr>
                <w:rFonts w:hint="default" w:ascii="Times New Roman" w:hAnsi="Times New Roman" w:cs="Times New Roman"/>
                <w:color w:val="auto"/>
                <w:sz w:val="24"/>
                <w:highlight w:val="none"/>
              </w:rPr>
              <w:t>1个容积为</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w:t>
            </w:r>
            <w:r>
              <w:rPr>
                <w:rFonts w:hint="eastAsia" w:cs="Times New Roman"/>
                <w:color w:val="auto"/>
                <w:sz w:val="24"/>
                <w:highlight w:val="none"/>
                <w:lang w:val="en-US" w:eastAsia="zh-CN"/>
              </w:rPr>
              <w:t>油水分离器</w:t>
            </w:r>
            <w:r>
              <w:rPr>
                <w:rFonts w:hint="default" w:ascii="Times New Roman" w:hAnsi="Times New Roman" w:cs="Times New Roman"/>
                <w:color w:val="auto"/>
                <w:sz w:val="24"/>
                <w:highlight w:val="none"/>
              </w:rPr>
              <w:t>，用于食堂含油废水，废水在</w:t>
            </w:r>
            <w:r>
              <w:rPr>
                <w:rFonts w:hint="eastAsia" w:cs="Times New Roman"/>
                <w:color w:val="auto"/>
                <w:sz w:val="24"/>
                <w:highlight w:val="none"/>
                <w:lang w:val="en-US" w:eastAsia="zh-CN"/>
              </w:rPr>
              <w:t>油水分离器</w:t>
            </w:r>
            <w:r>
              <w:rPr>
                <w:rFonts w:hint="default" w:ascii="Times New Roman" w:hAnsi="Times New Roman" w:cs="Times New Roman"/>
                <w:color w:val="auto"/>
                <w:sz w:val="24"/>
                <w:highlight w:val="none"/>
              </w:rPr>
              <w:t>中停留时间按0.5h计，则</w:t>
            </w:r>
            <w:r>
              <w:rPr>
                <w:rFonts w:hint="eastAsia" w:cs="Times New Roman"/>
                <w:color w:val="auto"/>
                <w:sz w:val="24"/>
                <w:highlight w:val="none"/>
                <w:lang w:val="en-US" w:eastAsia="zh-CN"/>
              </w:rPr>
              <w:t>油水分离器</w:t>
            </w:r>
            <w:r>
              <w:rPr>
                <w:rFonts w:hint="default" w:ascii="Times New Roman" w:hAnsi="Times New Roman" w:cs="Times New Roman"/>
                <w:color w:val="auto"/>
                <w:sz w:val="24"/>
                <w:highlight w:val="none"/>
              </w:rPr>
              <w:t>最大接纳污水量为</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/h，医院食堂废水产生量为</w:t>
            </w:r>
            <w:r>
              <w:rPr>
                <w:rFonts w:hint="eastAsia" w:cs="Times New Roman"/>
                <w:color w:val="auto"/>
                <w:sz w:val="24"/>
                <w:highlight w:val="none"/>
                <w:lang w:val="en-US" w:eastAsia="zh-CN"/>
              </w:rPr>
              <w:t>1.13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/h，低于</w:t>
            </w:r>
            <w:r>
              <w:rPr>
                <w:rFonts w:hint="eastAsia" w:cs="Times New Roman"/>
                <w:color w:val="auto"/>
                <w:sz w:val="24"/>
                <w:highlight w:val="none"/>
                <w:lang w:val="en-US" w:eastAsia="zh-CN"/>
              </w:rPr>
              <w:t>油水分离器</w:t>
            </w:r>
            <w:r>
              <w:rPr>
                <w:rFonts w:hint="default" w:ascii="Times New Roman" w:hAnsi="Times New Roman" w:cs="Times New Roman"/>
                <w:color w:val="auto"/>
                <w:sz w:val="24"/>
                <w:highlight w:val="none"/>
              </w:rPr>
              <w:t>的最大处理能力。同时，废水经隔油处理后，可有效去除废水中的油污，满足环境可行性要求。</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2</w:t>
            </w:r>
            <w:r>
              <w:rPr>
                <w:rFonts w:hint="eastAsia"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eastAsia="zh-CN"/>
              </w:rPr>
              <w:t>化粪池</w:t>
            </w:r>
            <w:r>
              <w:rPr>
                <w:rFonts w:hint="default" w:ascii="Times New Roman" w:hAnsi="Times New Roman" w:cs="Times New Roman"/>
                <w:b/>
                <w:bCs/>
                <w:color w:val="auto"/>
                <w:sz w:val="24"/>
                <w:highlight w:val="none"/>
              </w:rPr>
              <w:t>的环境可行性</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项目</w:t>
            </w:r>
            <w:r>
              <w:rPr>
                <w:rFonts w:hint="eastAsia" w:ascii="Times New Roman" w:hAnsi="Times New Roman" w:cs="Times New Roman"/>
                <w:color w:val="auto"/>
                <w:sz w:val="24"/>
                <w:highlight w:val="none"/>
                <w:lang w:val="en-US" w:eastAsia="zh-CN"/>
              </w:rPr>
              <w:t>租赁的用房区域设有</w:t>
            </w:r>
            <w:r>
              <w:rPr>
                <w:rFonts w:hint="default" w:ascii="Times New Roman" w:hAnsi="Times New Roman" w:cs="Times New Roman"/>
                <w:color w:val="auto"/>
                <w:sz w:val="24"/>
                <w:highlight w:val="none"/>
              </w:rPr>
              <w:t>1个容积为</w:t>
            </w:r>
            <w:r>
              <w:rPr>
                <w:rFonts w:hint="eastAsia" w:cs="Times New Roman"/>
                <w:color w:val="auto"/>
                <w:sz w:val="24"/>
                <w:highlight w:val="none"/>
                <w:lang w:val="en-US" w:eastAsia="zh-CN"/>
              </w:rPr>
              <w:t>40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w:t>
            </w:r>
            <w:r>
              <w:rPr>
                <w:rFonts w:hint="default" w:ascii="Times New Roman" w:hAnsi="Times New Roman" w:cs="Times New Roman"/>
                <w:color w:val="auto"/>
                <w:sz w:val="24"/>
                <w:highlight w:val="none"/>
                <w:lang w:eastAsia="zh-CN"/>
              </w:rPr>
              <w:t>化粪池</w:t>
            </w:r>
            <w:r>
              <w:rPr>
                <w:rFonts w:hint="default" w:ascii="Times New Roman" w:hAnsi="Times New Roman" w:cs="Times New Roman"/>
                <w:color w:val="auto"/>
                <w:sz w:val="24"/>
                <w:highlight w:val="none"/>
              </w:rPr>
              <w:t>，用于处理医院</w:t>
            </w:r>
            <w:r>
              <w:rPr>
                <w:rFonts w:hint="default" w:ascii="Times New Roman" w:hAnsi="Times New Roman" w:cs="Times New Roman"/>
                <w:color w:val="auto"/>
                <w:sz w:val="24"/>
                <w:highlight w:val="none"/>
                <w:lang w:eastAsia="zh-CN"/>
              </w:rPr>
              <w:t>生活污水</w:t>
            </w:r>
            <w:r>
              <w:rPr>
                <w:rFonts w:hint="default" w:ascii="Times New Roman" w:hAnsi="Times New Roman" w:cs="Times New Roman"/>
                <w:color w:val="auto"/>
                <w:sz w:val="24"/>
                <w:highlight w:val="none"/>
              </w:rPr>
              <w:t>、医疗废水</w:t>
            </w:r>
            <w:r>
              <w:rPr>
                <w:rFonts w:hint="eastAsia" w:ascii="Times New Roman" w:hAnsi="Times New Roman" w:cs="Times New Roman"/>
                <w:color w:val="auto"/>
                <w:sz w:val="24"/>
                <w:highlight w:val="none"/>
                <w:lang w:val="en-US" w:eastAsia="zh-CN"/>
              </w:rPr>
              <w:t>等预处理</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rPr>
              <w:t>废水在</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中停留时间按12h计，则</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最大接纳污水量为</w:t>
            </w:r>
            <w:r>
              <w:rPr>
                <w:rFonts w:hint="eastAsia" w:cs="Times New Roman"/>
                <w:color w:val="auto"/>
                <w:sz w:val="24"/>
                <w:highlight w:val="none"/>
                <w:lang w:val="en-US" w:eastAsia="zh-CN"/>
              </w:rPr>
              <w:t>80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根据工程分析，全院</w:t>
            </w:r>
            <w:r>
              <w:rPr>
                <w:rFonts w:hint="default" w:ascii="Times New Roman" w:hAnsi="Times New Roman" w:cs="Times New Roman"/>
                <w:bCs/>
                <w:color w:val="auto"/>
                <w:sz w:val="24"/>
                <w:highlight w:val="none"/>
              </w:rPr>
              <w:t>废水产生量为</w:t>
            </w:r>
            <w:r>
              <w:rPr>
                <w:rFonts w:hint="eastAsia" w:cs="Times New Roman"/>
                <w:bCs/>
                <w:color w:val="auto"/>
                <w:sz w:val="24"/>
                <w:highlight w:val="none"/>
                <w:lang w:val="en-US" w:eastAsia="zh-CN"/>
              </w:rPr>
              <w:t>72.72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，低于该</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最大处理能力。</w:t>
            </w:r>
            <w:r>
              <w:rPr>
                <w:rFonts w:hint="default" w:ascii="Times New Roman" w:hAnsi="Times New Roman" w:cs="Times New Roman"/>
                <w:color w:val="auto"/>
                <w:sz w:val="24"/>
                <w:highlight w:val="none"/>
              </w:rPr>
              <w:t>同时，</w:t>
            </w:r>
            <w:r>
              <w:rPr>
                <w:rFonts w:hint="default" w:ascii="Times New Roman" w:hAnsi="Times New Roman" w:cs="Times New Roman"/>
                <w:bCs/>
                <w:color w:val="auto"/>
                <w:sz w:val="24"/>
                <w:highlight w:val="none"/>
              </w:rPr>
              <w:t>污水经</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处理后，再进入</w:t>
            </w:r>
            <w:r>
              <w:rPr>
                <w:rFonts w:hint="eastAsia" w:cs="Times New Roman"/>
                <w:bCs/>
                <w:color w:val="auto"/>
                <w:sz w:val="24"/>
                <w:highlight w:val="none"/>
                <w:lang w:eastAsia="zh-CN"/>
              </w:rPr>
              <w:t>一体化污水处理设施</w:t>
            </w:r>
            <w:r>
              <w:rPr>
                <w:rFonts w:hint="default" w:ascii="Times New Roman" w:hAnsi="Times New Roman" w:cs="Times New Roman"/>
                <w:bCs/>
                <w:color w:val="auto"/>
                <w:sz w:val="24"/>
                <w:highlight w:val="none"/>
              </w:rPr>
              <w:t>处理，可</w:t>
            </w:r>
            <w:r>
              <w:rPr>
                <w:rFonts w:hint="default" w:ascii="Times New Roman" w:hAnsi="Times New Roman" w:cs="Times New Roman"/>
                <w:color w:val="auto"/>
                <w:sz w:val="24"/>
                <w:highlight w:val="none"/>
              </w:rPr>
              <w:t>满足环境可行性要求</w:t>
            </w:r>
            <w:r>
              <w:rPr>
                <w:rFonts w:hint="default" w:ascii="Times New Roman" w:hAnsi="Times New Roman" w:cs="Times New Roman"/>
                <w:bCs/>
                <w:color w:val="auto"/>
                <w:sz w:val="24"/>
                <w:highlight w:val="none"/>
              </w:rPr>
              <w:t>。</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3</w:t>
            </w:r>
            <w:r>
              <w:rPr>
                <w:rFonts w:hint="eastAsia" w:ascii="Times New Roman" w:hAnsi="Times New Roman" w:cs="Times New Roman"/>
                <w:b/>
                <w:bCs/>
                <w:color w:val="auto"/>
                <w:sz w:val="24"/>
                <w:highlight w:val="none"/>
                <w:lang w:eastAsia="zh-CN"/>
              </w:rPr>
              <w:t>）</w:t>
            </w:r>
            <w:r>
              <w:rPr>
                <w:rFonts w:hint="eastAsia" w:cs="Times New Roman"/>
                <w:b/>
                <w:bCs/>
                <w:color w:val="auto"/>
                <w:sz w:val="24"/>
                <w:highlight w:val="none"/>
                <w:lang w:eastAsia="zh-CN"/>
              </w:rPr>
              <w:t>一体化污水处理设施</w:t>
            </w:r>
            <w:r>
              <w:rPr>
                <w:rFonts w:hint="default" w:ascii="Times New Roman" w:hAnsi="Times New Roman" w:cs="Times New Roman"/>
                <w:b/>
                <w:bCs/>
                <w:color w:val="auto"/>
                <w:sz w:val="24"/>
                <w:highlight w:val="none"/>
              </w:rPr>
              <w:t>的环境可行性</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根据《医院污水处理工程技术规范》（HJ2029-2013）：“4.1.2 新（改、扩）建医院，在设计医院污水处理系统时应考虑将医院病区、非病区、传染病房、非传染病房污水分别收集。”、“4.1.3特殊性质污水应单独收集，经预处理后与医院污水合并处理，不得将特殊性质污水随意排入下水道。”、“6.1.2传染病医院污水应在预消毒后采用二级处理+消毒工艺或二级处理+深度处理+消毒工艺。”、</w:t>
            </w:r>
            <w:r>
              <w:rPr>
                <w:rFonts w:hint="default" w:ascii="Times New Roman" w:hAnsi="Times New Roman" w:cs="Times New Roman"/>
                <w:b/>
                <w:bCs/>
                <w:color w:val="auto"/>
                <w:sz w:val="24"/>
                <w:szCs w:val="24"/>
                <w:highlight w:val="none"/>
                <w:lang w:val="en-US" w:eastAsia="zh-CN"/>
              </w:rPr>
              <w:t>“6.1.3非传染病医院污水，若处理出水排入终端已建有正常运行的二级污水处理厂的城市污水管网时，可采用一级强化处理+消毒工艺。”</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《排污许可证申请与核发技术规范 医疗机构》（HJ1105-2020）附录A中废水治理可行技术参考如下表所示：</w:t>
            </w:r>
          </w:p>
          <w:p>
            <w:pPr>
              <w:keepNext w:val="0"/>
              <w:keepLines w:val="0"/>
              <w:pageBreakBefore w:val="0"/>
              <w:wordWrap/>
              <w:topLinePunct w:val="0"/>
              <w:bidi w:val="0"/>
              <w:snapToGrid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5</w:t>
            </w:r>
            <w:r>
              <w:rPr>
                <w:rFonts w:hint="default" w:ascii="Times New Roman" w:hAnsi="Times New Roman" w:eastAsia="黑体" w:cs="Times New Roman"/>
                <w:color w:val="auto"/>
                <w:szCs w:val="21"/>
                <w:highlight w:val="none"/>
              </w:rPr>
              <w:t xml:space="preserve"> 医疗机构排污单位污水治理可行技术参照表</w:t>
            </w:r>
          </w:p>
          <w:tbl>
            <w:tblPr>
              <w:tblStyle w:val="20"/>
              <w:tblW w:w="4973"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738"/>
              <w:gridCol w:w="1138"/>
              <w:gridCol w:w="504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val="en-US" w:eastAsia="zh-CN"/>
                    </w:rPr>
                    <w:t>污水</w:t>
                  </w:r>
                  <w:r>
                    <w:rPr>
                      <w:rFonts w:hint="default" w:ascii="Times New Roman" w:hAnsi="Times New Roman" w:cs="Times New Roman"/>
                      <w:b/>
                      <w:bCs/>
                      <w:color w:val="auto"/>
                      <w:szCs w:val="21"/>
                      <w:highlight w:val="none"/>
                    </w:rPr>
                    <w:t>类别</w:t>
                  </w:r>
                </w:p>
              </w:tc>
              <w:tc>
                <w:tcPr>
                  <w:tcW w:w="9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污染物种类</w:t>
                  </w:r>
                </w:p>
              </w:tc>
              <w:tc>
                <w:tcPr>
                  <w:tcW w:w="6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排放去向</w:t>
                  </w:r>
                </w:p>
              </w:tc>
              <w:tc>
                <w:tcPr>
                  <w:tcW w:w="279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可行技术</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1"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医疗污水</w:t>
                  </w:r>
                </w:p>
              </w:tc>
              <w:tc>
                <w:tcPr>
                  <w:tcW w:w="962"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粪大肠菌群数、肠道致病菌、肠道病毒、化学需氧量、氨氮、pH 值、悬浮物、五日生化需氧量、动植物油、石油类、阴离子表面活性剂、挥发酚、色度、总氰化物、总余氯</w:t>
                  </w:r>
                </w:p>
              </w:tc>
              <w:tc>
                <w:tcPr>
                  <w:tcW w:w="6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进入海域、江、河、湖库等水体</w:t>
                  </w:r>
                </w:p>
              </w:tc>
              <w:tc>
                <w:tcPr>
                  <w:tcW w:w="2794"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二级处理/深度处理+消毒工艺。</w:t>
                  </w:r>
                </w:p>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二级处理包括：活性污泥法；生物膜法。</w:t>
                  </w:r>
                </w:p>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深度处理包括：絮凝沉淀法；砂滤法；活性炭法；</w:t>
                  </w:r>
                </w:p>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臭氧氧化法；膜分离法；生物脱氮除磷法。</w:t>
                  </w:r>
                </w:p>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消毒工艺：加氯消毒，臭氧法消毒，次氯酸钠法、二氧化氯法消毒、紫外线消毒等。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1"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96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6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排入城镇污水处理厂</w:t>
                  </w:r>
                </w:p>
              </w:tc>
              <w:tc>
                <w:tcPr>
                  <w:tcW w:w="2794"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一级处理/一级强化处理+消毒工艺。</w:t>
                  </w:r>
                </w:p>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一级处理包括：筛滤法；沉淀法；气浮法；预曝气法。</w:t>
                  </w:r>
                </w:p>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一级强化处理包括：化学混凝处理、机械过滤或不完全生物处理。</w:t>
                  </w:r>
                </w:p>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消毒工艺：加氯消毒，臭氧法消毒，次氯酸钠法、二氧化氯法消毒、紫外线消毒等。</w:t>
                  </w:r>
                </w:p>
              </w:tc>
            </w:tr>
          </w:tbl>
          <w:p>
            <w:pPr>
              <w:keepNext w:val="0"/>
              <w:keepLines w:val="0"/>
              <w:pageBreakBefore w:val="0"/>
              <w:wordWrap/>
              <w:topLinePunct w:val="0"/>
              <w:bidi w:val="0"/>
              <w:spacing w:line="360" w:lineRule="auto"/>
              <w:ind w:left="0" w:leftChars="0" w:firstLine="480"/>
              <w:rPr>
                <w:rFonts w:hint="eastAsia"/>
                <w:color w:val="auto"/>
                <w:sz w:val="24"/>
                <w:highlight w:val="none"/>
                <w:lang w:val="en-US" w:eastAsia="zh-CN"/>
              </w:rPr>
            </w:pPr>
            <w:r>
              <w:rPr>
                <w:rFonts w:hint="default" w:ascii="Times New Roman" w:hAnsi="Times New Roman" w:cs="Times New Roman"/>
                <w:color w:val="auto"/>
                <w:sz w:val="24"/>
                <w:highlight w:val="none"/>
                <w:lang w:val="en-US" w:eastAsia="zh-CN"/>
              </w:rPr>
              <w:t>本项目</w:t>
            </w:r>
            <w:r>
              <w:rPr>
                <w:rFonts w:hint="eastAsia" w:cs="Times New Roman"/>
                <w:color w:val="auto"/>
                <w:sz w:val="24"/>
                <w:szCs w:val="24"/>
                <w:highlight w:val="none"/>
                <w:lang w:eastAsia="zh-CN"/>
              </w:rPr>
              <w:t>一体化污水处理设施</w:t>
            </w:r>
            <w:r>
              <w:rPr>
                <w:rFonts w:hint="default" w:ascii="Times New Roman" w:hAnsi="Times New Roman" w:cs="Times New Roman"/>
                <w:color w:val="auto"/>
                <w:sz w:val="24"/>
                <w:szCs w:val="24"/>
                <w:highlight w:val="none"/>
                <w:lang w:val="en-US" w:eastAsia="zh-CN"/>
              </w:rPr>
              <w:t>处理</w:t>
            </w:r>
            <w:r>
              <w:rPr>
                <w:rFonts w:hint="eastAsia" w:ascii="Times New Roman" w:hAnsi="Times New Roman" w:cs="Times New Roman"/>
                <w:color w:val="auto"/>
                <w:sz w:val="24"/>
                <w:szCs w:val="24"/>
                <w:highlight w:val="none"/>
                <w:lang w:val="en-US" w:eastAsia="zh-CN"/>
              </w:rPr>
              <w:t>处理能力为</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0</w:t>
            </w:r>
            <w:r>
              <w:rPr>
                <w:color w:val="auto"/>
                <w:sz w:val="24"/>
                <w:highlight w:val="none"/>
              </w:rPr>
              <w:t xml:space="preserve"> m</w:t>
            </w:r>
            <w:r>
              <w:rPr>
                <w:color w:val="auto"/>
                <w:sz w:val="24"/>
                <w:highlight w:val="none"/>
                <w:vertAlign w:val="superscript"/>
              </w:rPr>
              <w:t>3</w:t>
            </w:r>
            <w:r>
              <w:rPr>
                <w:color w:val="auto"/>
                <w:sz w:val="24"/>
                <w:highlight w:val="none"/>
              </w:rPr>
              <w:t>/d</w:t>
            </w:r>
            <w:r>
              <w:rPr>
                <w:rFonts w:hint="eastAsia"/>
                <w:color w:val="auto"/>
                <w:sz w:val="24"/>
                <w:highlight w:val="none"/>
              </w:rPr>
              <w:t>，采用</w:t>
            </w:r>
            <w:r>
              <w:rPr>
                <w:rFonts w:hint="eastAsia" w:ascii="Times New Roman" w:hAnsi="Times New Roman" w:cs="Times New Roman"/>
                <w:color w:val="auto"/>
                <w:sz w:val="24"/>
                <w:highlight w:val="none"/>
                <w:lang w:val="en-US" w:eastAsia="zh-CN"/>
              </w:rPr>
              <w:t>“</w:t>
            </w:r>
            <w:r>
              <w:rPr>
                <w:rFonts w:hint="eastAsia"/>
                <w:color w:val="auto"/>
                <w:sz w:val="24"/>
                <w:highlight w:val="none"/>
              </w:rPr>
              <w:t>A</w:t>
            </w:r>
            <w:r>
              <w:rPr>
                <w:color w:val="auto"/>
                <w:sz w:val="24"/>
                <w:highlight w:val="none"/>
              </w:rPr>
              <w:t>/O+</w:t>
            </w:r>
            <w:r>
              <w:rPr>
                <w:rFonts w:hint="eastAsia"/>
                <w:color w:val="auto"/>
                <w:sz w:val="24"/>
                <w:highlight w:val="none"/>
              </w:rPr>
              <w:t>沉淀+消毒</w:t>
            </w:r>
            <w:r>
              <w:rPr>
                <w:rFonts w:hint="eastAsia" w:ascii="Times New Roman" w:hAnsi="Times New Roman" w:cs="Times New Roman"/>
                <w:color w:val="auto"/>
                <w:sz w:val="24"/>
                <w:highlight w:val="none"/>
                <w:lang w:val="en-US" w:eastAsia="zh-CN"/>
              </w:rPr>
              <w:t>”工艺，属于</w:t>
            </w:r>
            <w:r>
              <w:rPr>
                <w:rFonts w:hint="default" w:ascii="Times New Roman" w:hAnsi="Times New Roman" w:cs="Times New Roman"/>
                <w:color w:val="auto"/>
                <w:sz w:val="24"/>
                <w:highlight w:val="none"/>
                <w:lang w:val="en-US" w:eastAsia="zh-CN"/>
              </w:rPr>
              <w:t>《排污许可证申请与核发技术规范 医疗机构》（HJ1105-2020）附录A</w:t>
            </w:r>
            <w:r>
              <w:rPr>
                <w:rFonts w:hint="eastAsia" w:ascii="Times New Roman" w:hAnsi="Times New Roman" w:cs="Times New Roman"/>
                <w:color w:val="auto"/>
                <w:sz w:val="24"/>
                <w:highlight w:val="none"/>
                <w:lang w:val="en-US" w:eastAsia="zh-CN"/>
              </w:rPr>
              <w:t>中一级强化处理+消毒工艺。同时，本项目院区废水总排放量为</w:t>
            </w:r>
            <w:r>
              <w:rPr>
                <w:rFonts w:hint="eastAsia" w:cs="Times New Roman"/>
                <w:color w:val="auto"/>
                <w:sz w:val="24"/>
                <w:highlight w:val="none"/>
                <w:lang w:val="en-US" w:eastAsia="zh-CN"/>
              </w:rPr>
              <w:t>72.72</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低于一体化污水处理设施处理能力，可满足医院日常废水处理要求。</w:t>
            </w:r>
          </w:p>
          <w:p>
            <w:pPr>
              <w:keepNext w:val="0"/>
              <w:keepLines w:val="0"/>
              <w:pageBreakBefore w:val="0"/>
              <w:wordWrap/>
              <w:topLinePunct w:val="0"/>
              <w:bidi w:val="0"/>
              <w:spacing w:line="360" w:lineRule="auto"/>
              <w:ind w:left="0" w:leftChars="0" w:firstLine="48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宣汉县城市生活污水处理厂</w:t>
            </w:r>
            <w:r>
              <w:rPr>
                <w:rFonts w:hint="default" w:ascii="Times New Roman" w:hAnsi="Times New Roman" w:cs="Times New Roman"/>
                <w:b/>
                <w:bCs/>
                <w:color w:val="auto"/>
                <w:sz w:val="24"/>
                <w:highlight w:val="none"/>
              </w:rPr>
              <w:t>的环境可行性</w:t>
            </w:r>
          </w:p>
          <w:p>
            <w:pPr>
              <w:keepNext w:val="0"/>
              <w:keepLines w:val="0"/>
              <w:pageBreakBefore w:val="0"/>
              <w:wordWrap/>
              <w:topLinePunct w:val="0"/>
              <w:bidi w:val="0"/>
              <w:spacing w:line="360" w:lineRule="auto"/>
              <w:ind w:left="0" w:leftChars="0" w:firstLine="480" w:firstLineChars="200"/>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宣汉县城市生活污水处理厂（一期）工程位于宣汉县东乡镇谢生坝，一期工程设计规模为2.5万m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d，采用ICEAS（改良SBR）处理工艺，并配套4.1km截污干管，服务范围为宣汉县老城区、州河南片区和黄金槽片区（东），污水经污水处理厂处理达到《城镇污水处理厂污染物排放标准》(GB18918-2002)一级标准的B类标准后排入州河。宣汉县城市生活污水处理厂（一期）工程截污干管和截留井于2007年7月完工，厂区于2008年12月完工并进行试运营。宣汉县城市生活污水处理厂（一期）工程于2010年3月4日取得了四川省环境保护厅“关于宣汉县城市生活污水处理厂（一期）工程建设项目环境影响报告表的批复“（川环审批〔2010〕89号），2017年申请环境保护竣工验收，并通过了验收（达市环验〔2017〕15号）。</w:t>
            </w:r>
          </w:p>
          <w:p>
            <w:pPr>
              <w:keepNext w:val="0"/>
              <w:keepLines w:val="0"/>
              <w:pageBreakBefore w:val="0"/>
              <w:wordWrap/>
              <w:topLinePunct w:val="0"/>
              <w:bidi w:val="0"/>
              <w:spacing w:line="360" w:lineRule="auto"/>
              <w:ind w:left="0" w:leftChars="0" w:firstLine="480"/>
              <w:rPr>
                <w:rFonts w:hint="default" w:cs="Times New Roman"/>
                <w:color w:val="auto"/>
                <w:sz w:val="24"/>
                <w:highlight w:val="none"/>
                <w:lang w:val="en-US" w:eastAsia="zh-CN"/>
              </w:rPr>
            </w:pPr>
            <w:r>
              <w:rPr>
                <w:rFonts w:hint="eastAsia" w:cs="Times New Roman"/>
                <w:b w:val="0"/>
                <w:bCs w:val="0"/>
                <w:color w:val="auto"/>
                <w:sz w:val="24"/>
                <w:highlight w:val="none"/>
                <w:lang w:val="en-US" w:eastAsia="zh-CN"/>
              </w:rPr>
              <w:t>2017年10月，</w:t>
            </w:r>
            <w:r>
              <w:rPr>
                <w:rFonts w:hint="eastAsia" w:cs="Times New Roman"/>
                <w:color w:val="auto"/>
                <w:sz w:val="24"/>
                <w:highlight w:val="none"/>
                <w:lang w:val="en-US" w:eastAsia="zh-CN"/>
              </w:rPr>
              <w:t>宣汉县自来水公司对宣汉县城市生活污水处理厂进行提标改造，将一期ICEAS池改造为生物移动床（MBBR）工艺，在池内曝气区投加改性生物悬浮填料；将一期现有罗茨鼓风机更换为空气悬浮高速离心鼓风机；将一期现有污泥脱水方案改为污泥深度脱水；在现有厂区预留空地上，扩建二期工程，二期工程占地面积约2867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，采用MBBR生化处理工艺，处理能力为2.5万m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/d，改扩建完成后，宣汉县城市生活污水处理厂处理总能力为5.0万m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污水经处理达到《城镇污水处理厂污染物排放标准》（GB18918-2002）一级标准的A类标准后排入州河。《宣汉县城市生活污水处理厂提标改造及二期工程》已于2017年12月22日取得《宣汉县城市生活污水处理厂提标改造及二期工程环境影响报告表的批复》（宣环审</w:t>
            </w:r>
            <w:r>
              <w:rPr>
                <w:rFonts w:hint="eastAsia" w:cs="Times New Roman"/>
                <w:b w:val="0"/>
                <w:bCs w:val="0"/>
                <w:color w:val="auto"/>
                <w:sz w:val="24"/>
                <w:highlight w:val="none"/>
                <w:lang w:val="en-US" w:eastAsia="zh-CN"/>
              </w:rPr>
              <w:t>〔2017〕75号</w:t>
            </w:r>
            <w:r>
              <w:rPr>
                <w:rFonts w:hint="eastAsia" w:cs="Times New Roman"/>
                <w:color w:val="auto"/>
                <w:sz w:val="24"/>
                <w:highlight w:val="none"/>
                <w:lang w:val="en-US" w:eastAsia="zh-CN"/>
              </w:rPr>
              <w:t>）；2021年6月，宣汉县鑫润污水处理有限公司出具《宣汉县城市生活污水处理厂提标改造及二期工程竣工环境保护验收意见》，同意项目通过竣工环境保护验收。</w:t>
            </w:r>
          </w:p>
          <w:p>
            <w:pPr>
              <w:keepNext w:val="0"/>
              <w:keepLines w:val="0"/>
              <w:pageBreakBefore w:val="0"/>
              <w:wordWrap/>
              <w:topLinePunct w:val="0"/>
              <w:bidi w:val="0"/>
              <w:spacing w:line="360" w:lineRule="auto"/>
              <w:ind w:left="0" w:leftChars="0" w:firstLine="480"/>
              <w:rPr>
                <w:rFonts w:hint="default" w:cs="Times New Roman"/>
                <w:color w:val="auto"/>
                <w:sz w:val="24"/>
                <w:highlight w:val="none"/>
                <w:lang w:val="en-US" w:eastAsia="zh-CN"/>
              </w:rPr>
            </w:pPr>
            <w:r>
              <w:rPr>
                <w:rFonts w:hint="eastAsia" w:cs="Times New Roman"/>
                <w:b/>
                <w:bCs/>
                <w:color w:val="auto"/>
                <w:sz w:val="24"/>
                <w:highlight w:val="none"/>
                <w:lang w:val="en-US" w:eastAsia="zh-CN"/>
              </w:rPr>
              <w:t>本项目属于宣汉县城市生活污水处理厂的服务范围，</w:t>
            </w:r>
            <w:r>
              <w:rPr>
                <w:rFonts w:hint="eastAsia" w:cs="Times New Roman"/>
                <w:color w:val="auto"/>
                <w:sz w:val="24"/>
                <w:highlight w:val="none"/>
                <w:lang w:val="en-US" w:eastAsia="zh-CN"/>
              </w:rPr>
              <w:t>本项目废水经</w:t>
            </w:r>
            <w:r>
              <w:rPr>
                <w:rFonts w:hint="eastAsia" w:ascii="Times New Roman" w:hAnsi="Times New Roman" w:cs="Times New Roman"/>
                <w:color w:val="auto"/>
                <w:sz w:val="24"/>
                <w:highlight w:val="none"/>
                <w:lang w:val="en-US" w:eastAsia="zh-CN"/>
              </w:rPr>
              <w:t>“</w:t>
            </w:r>
            <w:r>
              <w:rPr>
                <w:rFonts w:hint="eastAsia"/>
                <w:color w:val="auto"/>
                <w:sz w:val="24"/>
                <w:highlight w:val="none"/>
              </w:rPr>
              <w:t>A</w:t>
            </w:r>
            <w:r>
              <w:rPr>
                <w:color w:val="auto"/>
                <w:sz w:val="24"/>
                <w:highlight w:val="none"/>
              </w:rPr>
              <w:t>/O+</w:t>
            </w:r>
            <w:r>
              <w:rPr>
                <w:rFonts w:hint="eastAsia"/>
                <w:color w:val="auto"/>
                <w:sz w:val="24"/>
                <w:highlight w:val="none"/>
              </w:rPr>
              <w:t>沉淀+消毒</w:t>
            </w:r>
            <w:r>
              <w:rPr>
                <w:rFonts w:hint="eastAsia" w:ascii="Times New Roman" w:hAnsi="Times New Roman" w:cs="Times New Roman"/>
                <w:color w:val="auto"/>
                <w:sz w:val="24"/>
                <w:highlight w:val="none"/>
                <w:lang w:val="en-US" w:eastAsia="zh-CN"/>
              </w:rPr>
              <w:t>”工艺</w:t>
            </w:r>
            <w:r>
              <w:rPr>
                <w:rFonts w:hint="eastAsia" w:cs="Times New Roman"/>
                <w:color w:val="auto"/>
                <w:sz w:val="24"/>
                <w:highlight w:val="none"/>
                <w:lang w:val="en-US" w:eastAsia="zh-CN"/>
              </w:rPr>
              <w:t>处理达</w:t>
            </w:r>
            <w:r>
              <w:rPr>
                <w:rFonts w:hint="eastAsia"/>
                <w:color w:val="auto"/>
                <w:kern w:val="0"/>
                <w:sz w:val="24"/>
                <w:highlight w:val="none"/>
                <w:lang w:val="en-US" w:eastAsia="zh-CN"/>
              </w:rPr>
              <w:t>《医疗机构水污染物排放标准》（GB18466-2005）中的预处理标准后排入市政污水管网，最终进入</w:t>
            </w:r>
            <w:r>
              <w:rPr>
                <w:rFonts w:hint="eastAsia" w:cs="Times New Roman"/>
                <w:color w:val="auto"/>
                <w:sz w:val="24"/>
                <w:highlight w:val="none"/>
                <w:lang w:val="en-US" w:eastAsia="zh-CN"/>
              </w:rPr>
              <w:t>宣汉县城市生活污水处理厂进行处理，处理后达《城镇污水处理厂污染物排放标准》（GB18918-2002）一级标准的A类标准后排入州河。</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4、水污染物排放核算</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（1）污染物排放量</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本项目废水的各类污染物排放情况见表4-</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eastAsia="zh-CN"/>
              </w:rPr>
              <w:t>。</w:t>
            </w:r>
          </w:p>
          <w:p>
            <w:pPr>
              <w:keepNext w:val="0"/>
              <w:keepLines w:val="0"/>
              <w:pageBreakBefore w:val="0"/>
              <w:wordWrap/>
              <w:topLinePunct w:val="0"/>
              <w:bidi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6</w:t>
            </w:r>
            <w:r>
              <w:rPr>
                <w:rFonts w:hint="default" w:ascii="Times New Roman" w:hAnsi="Times New Roman" w:eastAsia="黑体" w:cs="Times New Roman"/>
                <w:color w:val="auto"/>
                <w:szCs w:val="21"/>
                <w:highlight w:val="none"/>
              </w:rPr>
              <w:t xml:space="preserve">  废水污染物排放信息表</w:t>
            </w:r>
          </w:p>
          <w:tbl>
            <w:tblPr>
              <w:tblStyle w:val="20"/>
              <w:tblW w:w="49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1078"/>
              <w:gridCol w:w="447"/>
              <w:gridCol w:w="640"/>
              <w:gridCol w:w="789"/>
              <w:gridCol w:w="789"/>
              <w:gridCol w:w="748"/>
              <w:gridCol w:w="775"/>
              <w:gridCol w:w="769"/>
              <w:gridCol w:w="829"/>
              <w:gridCol w:w="829"/>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6"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污染源</w:t>
                  </w:r>
                </w:p>
              </w:tc>
              <w:tc>
                <w:tcPr>
                  <w:tcW w:w="598"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污染物</w:t>
                  </w:r>
                </w:p>
              </w:tc>
              <w:tc>
                <w:tcPr>
                  <w:tcW w:w="1479" w:type="pct"/>
                  <w:gridSpan w:val="4"/>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污染物产生</w:t>
                  </w:r>
                </w:p>
              </w:tc>
              <w:tc>
                <w:tcPr>
                  <w:tcW w:w="845" w:type="pct"/>
                  <w:gridSpan w:val="2"/>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治理措施</w:t>
                  </w:r>
                </w:p>
              </w:tc>
              <w:tc>
                <w:tcPr>
                  <w:tcW w:w="1860" w:type="pct"/>
                  <w:gridSpan w:val="4"/>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p>
              </w:tc>
              <w:tc>
                <w:tcPr>
                  <w:tcW w:w="59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p>
              </w:tc>
              <w:tc>
                <w:tcPr>
                  <w:tcW w:w="24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核算方法</w:t>
                  </w:r>
                </w:p>
              </w:tc>
              <w:tc>
                <w:tcPr>
                  <w:tcW w:w="35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废水量m</w:t>
                  </w:r>
                  <w:r>
                    <w:rPr>
                      <w:rFonts w:hint="default" w:ascii="Times New Roman" w:hAnsi="Times New Roman" w:cs="Times New Roman"/>
                      <w:b/>
                      <w:bCs/>
                      <w:color w:val="auto"/>
                      <w:sz w:val="20"/>
                      <w:szCs w:val="20"/>
                      <w:highlight w:val="none"/>
                      <w:vertAlign w:val="superscript"/>
                    </w:rPr>
                    <w:t>3</w:t>
                  </w:r>
                  <w:r>
                    <w:rPr>
                      <w:rFonts w:hint="default" w:ascii="Times New Roman" w:hAnsi="Times New Roman" w:cs="Times New Roman"/>
                      <w:b/>
                      <w:bCs/>
                      <w:color w:val="auto"/>
                      <w:sz w:val="20"/>
                      <w:szCs w:val="20"/>
                      <w:highlight w:val="none"/>
                    </w:rPr>
                    <w:t>/a</w:t>
                  </w:r>
                </w:p>
              </w:tc>
              <w:tc>
                <w:tcPr>
                  <w:tcW w:w="43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产生</w:t>
                  </w:r>
                </w:p>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浓度mg/L</w:t>
                  </w:r>
                </w:p>
              </w:tc>
              <w:tc>
                <w:tcPr>
                  <w:tcW w:w="43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产生量t/a</w:t>
                  </w:r>
                </w:p>
              </w:tc>
              <w:tc>
                <w:tcPr>
                  <w:tcW w:w="41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治理工艺</w:t>
                  </w:r>
                </w:p>
              </w:tc>
              <w:tc>
                <w:tcPr>
                  <w:tcW w:w="4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处理效率%</w:t>
                  </w:r>
                </w:p>
              </w:tc>
              <w:tc>
                <w:tcPr>
                  <w:tcW w:w="42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废水量m</w:t>
                  </w:r>
                  <w:r>
                    <w:rPr>
                      <w:rFonts w:hint="default" w:ascii="Times New Roman" w:hAnsi="Times New Roman" w:cs="Times New Roman"/>
                      <w:b/>
                      <w:bCs/>
                      <w:color w:val="auto"/>
                      <w:sz w:val="20"/>
                      <w:szCs w:val="20"/>
                      <w:highlight w:val="none"/>
                      <w:vertAlign w:val="superscript"/>
                    </w:rPr>
                    <w:t>3</w:t>
                  </w:r>
                  <w:r>
                    <w:rPr>
                      <w:rFonts w:hint="default" w:ascii="Times New Roman" w:hAnsi="Times New Roman" w:cs="Times New Roman"/>
                      <w:b/>
                      <w:bCs/>
                      <w:color w:val="auto"/>
                      <w:sz w:val="20"/>
                      <w:szCs w:val="20"/>
                      <w:highlight w:val="none"/>
                    </w:rPr>
                    <w:t>/a</w:t>
                  </w:r>
                </w:p>
              </w:tc>
              <w:tc>
                <w:tcPr>
                  <w:tcW w:w="46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浓度mg/L</w:t>
                  </w:r>
                </w:p>
              </w:tc>
              <w:tc>
                <w:tcPr>
                  <w:tcW w:w="46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排放量t/a</w:t>
                  </w:r>
                </w:p>
              </w:tc>
              <w:tc>
                <w:tcPr>
                  <w:tcW w:w="51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排放</w:t>
                  </w:r>
                </w:p>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sz w:val="20"/>
                      <w:szCs w:val="20"/>
                      <w:highlight w:val="none"/>
                    </w:rPr>
                    <w:t>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医院废水</w:t>
                  </w:r>
                </w:p>
              </w:tc>
              <w:tc>
                <w:tcPr>
                  <w:tcW w:w="59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COD</w:t>
                  </w:r>
                </w:p>
              </w:tc>
              <w:tc>
                <w:tcPr>
                  <w:tcW w:w="248"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产污系数法</w:t>
                  </w:r>
                </w:p>
              </w:tc>
              <w:tc>
                <w:tcPr>
                  <w:tcW w:w="64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26542.8</w:t>
                  </w:r>
                  <w:r>
                    <w:rPr>
                      <w:rFonts w:hint="eastAsia" w:cs="Times New Roman"/>
                      <w:i w:val="0"/>
                      <w:iCs w:val="0"/>
                      <w:color w:val="auto"/>
                      <w:kern w:val="0"/>
                      <w:sz w:val="21"/>
                      <w:szCs w:val="21"/>
                      <w:highlight w:val="none"/>
                      <w:u w:val="none"/>
                      <w:lang w:val="en-US" w:eastAsia="zh-CN" w:bidi="ar"/>
                    </w:rPr>
                    <w:t>0</w:t>
                  </w:r>
                </w:p>
              </w:tc>
              <w:tc>
                <w:tcPr>
                  <w:tcW w:w="790"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7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7.963 </w:t>
                  </w:r>
                </w:p>
              </w:tc>
              <w:tc>
                <w:tcPr>
                  <w:tcW w:w="415" w:type="pct"/>
                  <w:vMerge w:val="restar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 w:val="20"/>
                      <w:szCs w:val="20"/>
                      <w:highlight w:val="none"/>
                      <w:lang w:eastAsia="zh-CN"/>
                    </w:rPr>
                  </w:pPr>
                  <w:r>
                    <w:rPr>
                      <w:rFonts w:hint="eastAsia" w:cs="Times New Roman"/>
                      <w:color w:val="auto"/>
                      <w:sz w:val="20"/>
                      <w:szCs w:val="20"/>
                      <w:highlight w:val="none"/>
                      <w:lang w:val="en-US" w:eastAsia="zh-CN"/>
                    </w:rPr>
                    <w:t>化粪池</w:t>
                  </w:r>
                  <w:r>
                    <w:rPr>
                      <w:rFonts w:hint="default" w:ascii="Times New Roman" w:hAnsi="Times New Roman" w:cs="Times New Roman"/>
                      <w:color w:val="auto"/>
                      <w:sz w:val="20"/>
                      <w:szCs w:val="20"/>
                      <w:highlight w:val="none"/>
                    </w:rPr>
                    <w:t>+</w:t>
                  </w:r>
                  <w:r>
                    <w:rPr>
                      <w:rFonts w:hint="eastAsia" w:cs="Times New Roman"/>
                      <w:color w:val="auto"/>
                      <w:sz w:val="20"/>
                      <w:szCs w:val="20"/>
                      <w:highlight w:val="none"/>
                      <w:lang w:eastAsia="zh-CN"/>
                    </w:rPr>
                    <w:t>一体化污水处理设施</w:t>
                  </w:r>
                </w:p>
              </w:tc>
              <w:tc>
                <w:tcPr>
                  <w:tcW w:w="4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17</w:t>
                  </w:r>
                </w:p>
              </w:tc>
              <w:tc>
                <w:tcPr>
                  <w:tcW w:w="771"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26542.8</w:t>
                  </w:r>
                  <w:r>
                    <w:rPr>
                      <w:rFonts w:hint="eastAsia" w:cs="Times New Roman"/>
                      <w:i w:val="0"/>
                      <w:iCs w:val="0"/>
                      <w:color w:val="auto"/>
                      <w:kern w:val="0"/>
                      <w:sz w:val="21"/>
                      <w:szCs w:val="21"/>
                      <w:highlight w:val="none"/>
                      <w:u w:val="none"/>
                      <w:lang w:val="en-US" w:eastAsia="zh-CN" w:bidi="ar"/>
                    </w:rPr>
                    <w:t>0</w:t>
                  </w: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6.636 </w:t>
                  </w:r>
                </w:p>
              </w:tc>
              <w:tc>
                <w:tcPr>
                  <w:tcW w:w="922"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59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BOD</w:t>
                  </w:r>
                  <w:r>
                    <w:rPr>
                      <w:rFonts w:hint="default" w:ascii="Times New Roman" w:hAnsi="Times New Roman" w:cs="Times New Roman"/>
                      <w:color w:val="auto"/>
                      <w:sz w:val="20"/>
                      <w:szCs w:val="20"/>
                      <w:highlight w:val="none"/>
                      <w:vertAlign w:val="subscript"/>
                    </w:rPr>
                    <w:t>5</w:t>
                  </w:r>
                </w:p>
              </w:tc>
              <w:tc>
                <w:tcPr>
                  <w:tcW w:w="24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641" w:type="dxa"/>
                  <w:vMerge w:val="continue"/>
                  <w:noWrap w:val="0"/>
                  <w:vAlign w:val="center"/>
                </w:tcPr>
                <w:p>
                  <w:pPr>
                    <w:jc w:val="center"/>
                    <w:rPr>
                      <w:rFonts w:hint="default" w:ascii="Times New Roman" w:hAnsi="Times New Roman" w:cs="Times New Roman"/>
                      <w:color w:val="auto"/>
                      <w:sz w:val="20"/>
                      <w:szCs w:val="20"/>
                      <w:highlight w:val="none"/>
                    </w:rPr>
                  </w:pPr>
                </w:p>
              </w:tc>
              <w:tc>
                <w:tcPr>
                  <w:tcW w:w="79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7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3.981 </w:t>
                  </w:r>
                </w:p>
              </w:tc>
              <w:tc>
                <w:tcPr>
                  <w:tcW w:w="41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4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33</w:t>
                  </w:r>
                </w:p>
              </w:tc>
              <w:tc>
                <w:tcPr>
                  <w:tcW w:w="771" w:type="dxa"/>
                  <w:vMerge w:val="continue"/>
                  <w:noWrap w:val="0"/>
                  <w:vAlign w:val="center"/>
                </w:tcPr>
                <w:p>
                  <w:pPr>
                    <w:jc w:val="center"/>
                    <w:rPr>
                      <w:rFonts w:hint="default" w:ascii="Times New Roman" w:hAnsi="Times New Roman" w:cs="Times New Roman"/>
                      <w:color w:val="auto"/>
                      <w:sz w:val="20"/>
                      <w:szCs w:val="20"/>
                      <w:highlight w:val="none"/>
                    </w:rPr>
                  </w:pP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2.654 </w:t>
                  </w:r>
                </w:p>
              </w:tc>
              <w:tc>
                <w:tcPr>
                  <w:tcW w:w="92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59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SS</w:t>
                  </w:r>
                </w:p>
              </w:tc>
              <w:tc>
                <w:tcPr>
                  <w:tcW w:w="24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641" w:type="dxa"/>
                  <w:vMerge w:val="continue"/>
                  <w:noWrap w:val="0"/>
                  <w:vAlign w:val="center"/>
                </w:tcPr>
                <w:p>
                  <w:pPr>
                    <w:jc w:val="center"/>
                    <w:rPr>
                      <w:rFonts w:hint="default" w:ascii="Times New Roman" w:hAnsi="Times New Roman" w:cs="Times New Roman"/>
                      <w:color w:val="auto"/>
                      <w:sz w:val="20"/>
                      <w:szCs w:val="20"/>
                      <w:highlight w:val="none"/>
                    </w:rPr>
                  </w:pPr>
                </w:p>
              </w:tc>
              <w:tc>
                <w:tcPr>
                  <w:tcW w:w="79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7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3.185 </w:t>
                  </w:r>
                </w:p>
              </w:tc>
              <w:tc>
                <w:tcPr>
                  <w:tcW w:w="41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4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w:t>
                  </w:r>
                </w:p>
              </w:tc>
              <w:tc>
                <w:tcPr>
                  <w:tcW w:w="771" w:type="dxa"/>
                  <w:vMerge w:val="continue"/>
                  <w:noWrap w:val="0"/>
                  <w:vAlign w:val="center"/>
                </w:tcPr>
                <w:p>
                  <w:pPr>
                    <w:jc w:val="center"/>
                    <w:rPr>
                      <w:rFonts w:hint="default" w:ascii="Times New Roman" w:hAnsi="Times New Roman" w:cs="Times New Roman"/>
                      <w:color w:val="auto"/>
                      <w:sz w:val="20"/>
                      <w:szCs w:val="20"/>
                      <w:highlight w:val="none"/>
                    </w:rPr>
                  </w:pP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1.593 </w:t>
                  </w:r>
                </w:p>
              </w:tc>
              <w:tc>
                <w:tcPr>
                  <w:tcW w:w="92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1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59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NH</w:t>
                  </w:r>
                  <w:r>
                    <w:rPr>
                      <w:rFonts w:hint="default" w:ascii="Times New Roman" w:hAnsi="Times New Roman" w:cs="Times New Roman"/>
                      <w:color w:val="auto"/>
                      <w:sz w:val="20"/>
                      <w:szCs w:val="20"/>
                      <w:highlight w:val="none"/>
                      <w:vertAlign w:val="subscript"/>
                    </w:rPr>
                    <w:t>3</w:t>
                  </w:r>
                  <w:r>
                    <w:rPr>
                      <w:rFonts w:hint="default" w:ascii="Times New Roman" w:hAnsi="Times New Roman" w:cs="Times New Roman"/>
                      <w:color w:val="auto"/>
                      <w:sz w:val="20"/>
                      <w:szCs w:val="20"/>
                      <w:highlight w:val="none"/>
                    </w:rPr>
                    <w:t>-N</w:t>
                  </w:r>
                </w:p>
              </w:tc>
              <w:tc>
                <w:tcPr>
                  <w:tcW w:w="24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641" w:type="dxa"/>
                  <w:vMerge w:val="continue"/>
                  <w:noWrap w:val="0"/>
                  <w:vAlign w:val="center"/>
                </w:tcPr>
                <w:p>
                  <w:pPr>
                    <w:jc w:val="center"/>
                    <w:rPr>
                      <w:rFonts w:hint="default" w:ascii="Times New Roman" w:hAnsi="Times New Roman" w:cs="Times New Roman"/>
                      <w:color w:val="auto"/>
                      <w:sz w:val="20"/>
                      <w:szCs w:val="20"/>
                      <w:highlight w:val="none"/>
                    </w:rPr>
                  </w:pPr>
                </w:p>
              </w:tc>
              <w:tc>
                <w:tcPr>
                  <w:tcW w:w="79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7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1.327 </w:t>
                  </w:r>
                </w:p>
              </w:tc>
              <w:tc>
                <w:tcPr>
                  <w:tcW w:w="41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4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w:t>
                  </w:r>
                </w:p>
              </w:tc>
              <w:tc>
                <w:tcPr>
                  <w:tcW w:w="771" w:type="dxa"/>
                  <w:vMerge w:val="continue"/>
                  <w:noWrap w:val="0"/>
                  <w:vAlign w:val="center"/>
                </w:tcPr>
                <w:p>
                  <w:pPr>
                    <w:jc w:val="center"/>
                    <w:rPr>
                      <w:rFonts w:hint="default" w:ascii="Times New Roman" w:hAnsi="Times New Roman" w:cs="Times New Roman"/>
                      <w:color w:val="auto"/>
                      <w:sz w:val="20"/>
                      <w:szCs w:val="20"/>
                      <w:highlight w:val="none"/>
                    </w:rPr>
                  </w:pP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1.194 </w:t>
                  </w:r>
                </w:p>
              </w:tc>
              <w:tc>
                <w:tcPr>
                  <w:tcW w:w="92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1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59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TP</w:t>
                  </w:r>
                </w:p>
              </w:tc>
              <w:tc>
                <w:tcPr>
                  <w:tcW w:w="24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641" w:type="dxa"/>
                  <w:vMerge w:val="continue"/>
                  <w:noWrap w:val="0"/>
                  <w:vAlign w:val="center"/>
                </w:tcPr>
                <w:p>
                  <w:pPr>
                    <w:jc w:val="center"/>
                    <w:rPr>
                      <w:rFonts w:hint="default" w:ascii="Times New Roman" w:hAnsi="Times New Roman" w:cs="Times New Roman"/>
                      <w:color w:val="auto"/>
                      <w:sz w:val="20"/>
                      <w:szCs w:val="20"/>
                      <w:highlight w:val="none"/>
                    </w:rPr>
                  </w:pPr>
                </w:p>
              </w:tc>
              <w:tc>
                <w:tcPr>
                  <w:tcW w:w="79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0.239 </w:t>
                  </w:r>
                </w:p>
              </w:tc>
              <w:tc>
                <w:tcPr>
                  <w:tcW w:w="41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4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11</w:t>
                  </w:r>
                </w:p>
              </w:tc>
              <w:tc>
                <w:tcPr>
                  <w:tcW w:w="771" w:type="dxa"/>
                  <w:vMerge w:val="continue"/>
                  <w:noWrap w:val="0"/>
                  <w:vAlign w:val="center"/>
                </w:tcPr>
                <w:p>
                  <w:pPr>
                    <w:jc w:val="center"/>
                    <w:rPr>
                      <w:rFonts w:hint="default" w:ascii="Times New Roman" w:hAnsi="Times New Roman" w:cs="Times New Roman"/>
                      <w:color w:val="auto"/>
                      <w:sz w:val="20"/>
                      <w:szCs w:val="20"/>
                      <w:highlight w:val="none"/>
                    </w:rPr>
                  </w:pP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0.212 </w:t>
                  </w:r>
                </w:p>
              </w:tc>
              <w:tc>
                <w:tcPr>
                  <w:tcW w:w="92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59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动植物油</w:t>
                  </w:r>
                </w:p>
              </w:tc>
              <w:tc>
                <w:tcPr>
                  <w:tcW w:w="24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641" w:type="dxa"/>
                  <w:vMerge w:val="continue"/>
                  <w:noWrap w:val="0"/>
                  <w:vAlign w:val="center"/>
                </w:tcPr>
                <w:p>
                  <w:pPr>
                    <w:jc w:val="center"/>
                    <w:rPr>
                      <w:rFonts w:hint="default" w:ascii="Times New Roman" w:hAnsi="Times New Roman" w:cs="Times New Roman"/>
                      <w:color w:val="auto"/>
                      <w:sz w:val="20"/>
                      <w:szCs w:val="20"/>
                      <w:highlight w:val="none"/>
                    </w:rPr>
                  </w:pPr>
                </w:p>
              </w:tc>
              <w:tc>
                <w:tcPr>
                  <w:tcW w:w="790"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0.664 </w:t>
                  </w:r>
                </w:p>
              </w:tc>
              <w:tc>
                <w:tcPr>
                  <w:tcW w:w="41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p>
              </w:tc>
              <w:tc>
                <w:tcPr>
                  <w:tcW w:w="43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w:t>
                  </w:r>
                </w:p>
              </w:tc>
              <w:tc>
                <w:tcPr>
                  <w:tcW w:w="771" w:type="dxa"/>
                  <w:vMerge w:val="continue"/>
                  <w:noWrap w:val="0"/>
                  <w:vAlign w:val="center"/>
                </w:tcPr>
                <w:p>
                  <w:pPr>
                    <w:jc w:val="center"/>
                    <w:rPr>
                      <w:rFonts w:hint="default" w:ascii="Times New Roman" w:hAnsi="Times New Roman" w:cs="Times New Roman"/>
                      <w:color w:val="auto"/>
                      <w:sz w:val="20"/>
                      <w:szCs w:val="20"/>
                      <w:highlight w:val="none"/>
                    </w:rPr>
                  </w:pP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2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0.531 </w:t>
                  </w:r>
                </w:p>
              </w:tc>
              <w:tc>
                <w:tcPr>
                  <w:tcW w:w="922"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r>
          </w:tbl>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（2）排放口基本情况</w:t>
            </w:r>
          </w:p>
          <w:p>
            <w:pPr>
              <w:keepNext w:val="0"/>
              <w:keepLines w:val="0"/>
              <w:pageBreakBefore w:val="0"/>
              <w:wordWrap/>
              <w:topLinePunct w:val="0"/>
              <w:bidi w:val="0"/>
              <w:spacing w:line="360" w:lineRule="auto"/>
              <w:ind w:left="0" w:leftChars="0" w:firstLine="440" w:firstLineChars="200"/>
              <w:rPr>
                <w:rFonts w:hint="default" w:ascii="Times New Roman" w:hAnsi="Times New Roman" w:cs="Times New Roman"/>
                <w:bCs/>
                <w:color w:val="auto"/>
                <w:spacing w:val="-10"/>
                <w:sz w:val="24"/>
                <w:highlight w:val="none"/>
              </w:rPr>
            </w:pPr>
            <w:r>
              <w:rPr>
                <w:rFonts w:hint="default" w:ascii="Times New Roman" w:hAnsi="Times New Roman" w:cs="Times New Roman"/>
                <w:bCs/>
                <w:color w:val="auto"/>
                <w:spacing w:val="-10"/>
                <w:sz w:val="24"/>
                <w:highlight w:val="none"/>
              </w:rPr>
              <w:t>本项目废水排口设置情况见表4-</w:t>
            </w:r>
            <w:r>
              <w:rPr>
                <w:rFonts w:hint="eastAsia" w:cs="Times New Roman"/>
                <w:bCs/>
                <w:color w:val="auto"/>
                <w:spacing w:val="-10"/>
                <w:sz w:val="24"/>
                <w:highlight w:val="none"/>
                <w:lang w:val="en-US" w:eastAsia="zh-CN"/>
              </w:rPr>
              <w:t>7</w:t>
            </w:r>
            <w:r>
              <w:rPr>
                <w:rFonts w:hint="default" w:ascii="Times New Roman" w:hAnsi="Times New Roman" w:cs="Times New Roman"/>
                <w:bCs/>
                <w:color w:val="auto"/>
                <w:spacing w:val="-10"/>
                <w:sz w:val="24"/>
                <w:highlight w:val="none"/>
              </w:rPr>
              <w:t>。</w:t>
            </w:r>
          </w:p>
          <w:p>
            <w:pPr>
              <w:keepNext w:val="0"/>
              <w:keepLines w:val="0"/>
              <w:pageBreakBefore w:val="0"/>
              <w:wordWrap/>
              <w:topLinePunct w:val="0"/>
              <w:bidi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7</w:t>
            </w:r>
            <w:r>
              <w:rPr>
                <w:rFonts w:hint="default" w:ascii="Times New Roman" w:hAnsi="Times New Roman" w:eastAsia="黑体" w:cs="Times New Roman"/>
                <w:color w:val="auto"/>
                <w:szCs w:val="21"/>
                <w:highlight w:val="none"/>
              </w:rPr>
              <w:t xml:space="preserve"> 废水排放口基本信息表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319"/>
              <w:gridCol w:w="1528"/>
              <w:gridCol w:w="1499"/>
              <w:gridCol w:w="1390"/>
              <w:gridCol w:w="1648"/>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558"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排放口</w:t>
                  </w:r>
                </w:p>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编号</w:t>
                  </w:r>
                </w:p>
              </w:tc>
              <w:tc>
                <w:tcPr>
                  <w:tcW w:w="727"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排放口名称</w:t>
                  </w:r>
                </w:p>
              </w:tc>
              <w:tc>
                <w:tcPr>
                  <w:tcW w:w="1668" w:type="pct"/>
                  <w:gridSpan w:val="2"/>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排放口地理坐标</w:t>
                  </w:r>
                </w:p>
              </w:tc>
              <w:tc>
                <w:tcPr>
                  <w:tcW w:w="766"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排放量（m</w:t>
                  </w:r>
                  <w:r>
                    <w:rPr>
                      <w:rFonts w:hint="default" w:ascii="Times New Roman" w:hAnsi="Times New Roman" w:cs="Times New Roman"/>
                      <w:b/>
                      <w:bCs/>
                      <w:color w:val="auto"/>
                      <w:spacing w:val="4"/>
                      <w:szCs w:val="21"/>
                      <w:highlight w:val="none"/>
                      <w:vertAlign w:val="superscript"/>
                    </w:rPr>
                    <w:t>3</w:t>
                  </w:r>
                  <w:r>
                    <w:rPr>
                      <w:rFonts w:hint="default" w:ascii="Times New Roman" w:hAnsi="Times New Roman" w:cs="Times New Roman"/>
                      <w:b/>
                      <w:bCs/>
                      <w:color w:val="auto"/>
                      <w:spacing w:val="4"/>
                      <w:szCs w:val="21"/>
                      <w:highlight w:val="none"/>
                    </w:rPr>
                    <w:t>/a）</w:t>
                  </w:r>
                </w:p>
              </w:tc>
              <w:tc>
                <w:tcPr>
                  <w:tcW w:w="908"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排放去向</w:t>
                  </w:r>
                </w:p>
              </w:tc>
              <w:tc>
                <w:tcPr>
                  <w:tcW w:w="370"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blHeader/>
                <w:jc w:val="center"/>
              </w:trPr>
              <w:tc>
                <w:tcPr>
                  <w:tcW w:w="55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727"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84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经度</w:t>
                  </w:r>
                </w:p>
              </w:tc>
              <w:tc>
                <w:tcPr>
                  <w:tcW w:w="82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pacing w:val="4"/>
                      <w:szCs w:val="21"/>
                      <w:highlight w:val="none"/>
                    </w:rPr>
                  </w:pPr>
                  <w:r>
                    <w:rPr>
                      <w:rFonts w:hint="default" w:ascii="Times New Roman" w:hAnsi="Times New Roman" w:cs="Times New Roman"/>
                      <w:b/>
                      <w:bCs/>
                      <w:color w:val="auto"/>
                      <w:spacing w:val="4"/>
                      <w:szCs w:val="21"/>
                      <w:highlight w:val="none"/>
                    </w:rPr>
                    <w:t>纬度</w:t>
                  </w:r>
                </w:p>
              </w:tc>
              <w:tc>
                <w:tcPr>
                  <w:tcW w:w="766"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90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370"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5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DW001</w:t>
                  </w:r>
                </w:p>
              </w:tc>
              <w:tc>
                <w:tcPr>
                  <w:tcW w:w="72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医院废水总排口</w:t>
                  </w:r>
                </w:p>
              </w:tc>
              <w:tc>
                <w:tcPr>
                  <w:tcW w:w="84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107.709159</w:t>
                  </w:r>
                </w:p>
              </w:tc>
              <w:tc>
                <w:tcPr>
                  <w:tcW w:w="826"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rPr>
                    <w:t>31.37048</w:t>
                  </w:r>
                  <w:r>
                    <w:rPr>
                      <w:rFonts w:hint="eastAsia" w:cs="Times New Roman"/>
                      <w:color w:val="auto"/>
                      <w:spacing w:val="4"/>
                      <w:szCs w:val="21"/>
                      <w:highlight w:val="none"/>
                      <w:lang w:val="en-US" w:eastAsia="zh-CN"/>
                    </w:rPr>
                    <w:t>9</w:t>
                  </w:r>
                </w:p>
              </w:tc>
              <w:tc>
                <w:tcPr>
                  <w:tcW w:w="7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26542.8</w:t>
                  </w:r>
                  <w:r>
                    <w:rPr>
                      <w:rFonts w:hint="eastAsia" w:cs="Times New Roman"/>
                      <w:i w:val="0"/>
                      <w:iCs w:val="0"/>
                      <w:color w:val="auto"/>
                      <w:kern w:val="0"/>
                      <w:sz w:val="21"/>
                      <w:szCs w:val="21"/>
                      <w:highlight w:val="none"/>
                      <w:u w:val="none"/>
                      <w:lang w:val="en-US" w:eastAsia="zh-CN" w:bidi="ar"/>
                    </w:rPr>
                    <w:t>0</w:t>
                  </w:r>
                </w:p>
              </w:tc>
              <w:tc>
                <w:tcPr>
                  <w:tcW w:w="90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eastAsia="zh-CN"/>
                    </w:rPr>
                  </w:pPr>
                  <w:r>
                    <w:rPr>
                      <w:rFonts w:hint="eastAsia" w:cs="Times New Roman"/>
                      <w:color w:val="auto"/>
                      <w:spacing w:val="4"/>
                      <w:szCs w:val="21"/>
                      <w:highlight w:val="none"/>
                      <w:lang w:eastAsia="zh-CN"/>
                    </w:rPr>
                    <w:t>宣汉县城市生活污水处理厂</w:t>
                  </w:r>
                </w:p>
              </w:tc>
              <w:tc>
                <w:tcPr>
                  <w:tcW w:w="37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连续排放</w:t>
                  </w:r>
                </w:p>
              </w:tc>
            </w:tr>
          </w:tbl>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5、监测要求</w:t>
            </w:r>
          </w:p>
          <w:p>
            <w:pPr>
              <w:keepNext w:val="0"/>
              <w:keepLines w:val="0"/>
              <w:pageBreakBefore w:val="0"/>
              <w:wordWrap/>
              <w:topLinePunct w:val="0"/>
              <w:bidi w:val="0"/>
              <w:spacing w:line="360" w:lineRule="auto"/>
              <w:ind w:left="0" w:leftChars="0" w:firstLine="440" w:firstLineChars="200"/>
              <w:rPr>
                <w:rFonts w:hint="default" w:ascii="Times New Roman" w:hAnsi="Times New Roman" w:cs="Times New Roman"/>
                <w:bCs/>
                <w:color w:val="auto"/>
                <w:spacing w:val="-10"/>
                <w:sz w:val="24"/>
                <w:highlight w:val="none"/>
              </w:rPr>
            </w:pPr>
            <w:r>
              <w:rPr>
                <w:rFonts w:hint="default" w:ascii="Times New Roman" w:hAnsi="Times New Roman" w:cs="Times New Roman"/>
                <w:bCs/>
                <w:color w:val="auto"/>
                <w:spacing w:val="-10"/>
                <w:sz w:val="24"/>
                <w:highlight w:val="none"/>
              </w:rPr>
              <w:t>根据</w:t>
            </w:r>
            <w:r>
              <w:rPr>
                <w:rFonts w:hint="default" w:ascii="Times New Roman" w:hAnsi="Times New Roman" w:cs="Times New Roman"/>
                <w:color w:val="auto"/>
                <w:sz w:val="24"/>
                <w:highlight w:val="none"/>
              </w:rPr>
              <w:t>《排污许可证申请与核发技术规范 医疗机构》（HJ1105-2020）提出项目生产运行阶段的污染源监测计划，详见下表：</w:t>
            </w:r>
          </w:p>
          <w:p>
            <w:pPr>
              <w:keepNext w:val="0"/>
              <w:keepLines w:val="0"/>
              <w:pageBreakBefore w:val="0"/>
              <w:wordWrap/>
              <w:topLinePunct w:val="0"/>
              <w:bidi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8</w:t>
            </w:r>
            <w:r>
              <w:rPr>
                <w:rFonts w:hint="default" w:ascii="Times New Roman" w:hAnsi="Times New Roman" w:eastAsia="黑体" w:cs="Times New Roman"/>
                <w:color w:val="auto"/>
                <w:szCs w:val="21"/>
                <w:highlight w:val="none"/>
              </w:rPr>
              <w:t xml:space="preserve"> 废水监测方案</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3990"/>
              <w:gridCol w:w="1508"/>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219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监测指标</w:t>
                  </w:r>
                </w:p>
              </w:tc>
              <w:tc>
                <w:tcPr>
                  <w:tcW w:w="83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c>
                <w:tcPr>
                  <w:tcW w:w="1014" w:type="pct"/>
                  <w:noWrap w:val="0"/>
                  <w:vAlign w:val="top"/>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4"/>
                      <w:szCs w:val="21"/>
                      <w:highlight w:val="none"/>
                    </w:rPr>
                    <w:t>医院废水总排口</w:t>
                  </w:r>
                </w:p>
              </w:tc>
              <w:tc>
                <w:tcPr>
                  <w:tcW w:w="219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流量</w:t>
                  </w:r>
                </w:p>
              </w:tc>
              <w:tc>
                <w:tcPr>
                  <w:tcW w:w="83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自动监测</w:t>
                  </w:r>
                </w:p>
              </w:tc>
              <w:tc>
                <w:tcPr>
                  <w:tcW w:w="1014"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《医疗机构水污染物排放标准》（GB18466-2005）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219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tc>
              <w:tc>
                <w:tcPr>
                  <w:tcW w:w="83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12小时</w:t>
                  </w:r>
                </w:p>
              </w:tc>
              <w:tc>
                <w:tcPr>
                  <w:tcW w:w="1014"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219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COD、SS</w:t>
                  </w:r>
                </w:p>
              </w:tc>
              <w:tc>
                <w:tcPr>
                  <w:tcW w:w="83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周/次 </w:t>
                  </w:r>
                </w:p>
              </w:tc>
              <w:tc>
                <w:tcPr>
                  <w:tcW w:w="1014"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219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粪大肠菌群数</w:t>
                  </w:r>
                </w:p>
              </w:tc>
              <w:tc>
                <w:tcPr>
                  <w:tcW w:w="83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月/次</w:t>
                  </w:r>
                </w:p>
              </w:tc>
              <w:tc>
                <w:tcPr>
                  <w:tcW w:w="1014"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p>
              </w:tc>
              <w:tc>
                <w:tcPr>
                  <w:tcW w:w="219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-N、TP、动植物油、阴离子表面活性剂、总余氯、挥发酚</w:t>
                  </w:r>
                </w:p>
              </w:tc>
              <w:tc>
                <w:tcPr>
                  <w:tcW w:w="83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季度/次</w:t>
                  </w:r>
                </w:p>
              </w:tc>
              <w:tc>
                <w:tcPr>
                  <w:tcW w:w="1014"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18"/>
                      <w:szCs w:val="18"/>
                      <w:highlight w:val="none"/>
                    </w:rPr>
                  </w:pPr>
                </w:p>
              </w:tc>
            </w:tr>
          </w:tbl>
          <w:p>
            <w:pPr>
              <w:keepNext w:val="0"/>
              <w:keepLines w:val="0"/>
              <w:pageBreakBefore w:val="0"/>
              <w:wordWrap/>
              <w:topLinePunct w:val="0"/>
              <w:bidi w:val="0"/>
              <w:spacing w:line="240" w:lineRule="auto"/>
              <w:ind w:left="0" w:leftChars="0" w:firstLine="420" w:firstLineChars="200"/>
              <w:rPr>
                <w:rFonts w:hint="eastAsia" w:ascii="黑体" w:hAnsi="黑体" w:eastAsia="黑体"/>
                <w:bCs/>
                <w:color w:val="auto"/>
                <w:szCs w:val="21"/>
                <w:highlight w:val="none"/>
              </w:rPr>
            </w:pPr>
            <w:r>
              <w:rPr>
                <w:rFonts w:hint="eastAsia" w:ascii="黑体" w:hAnsi="黑体" w:eastAsia="黑体"/>
                <w:bCs/>
                <w:color w:val="auto"/>
                <w:szCs w:val="21"/>
                <w:highlight w:val="none"/>
              </w:rPr>
              <w:t>备注：根据</w:t>
            </w:r>
            <w:r>
              <w:rPr>
                <w:rFonts w:eastAsia="黑体"/>
                <w:bCs/>
                <w:color w:val="auto"/>
                <w:szCs w:val="21"/>
                <w:highlight w:val="none"/>
              </w:rPr>
              <w:t>《排污许可证申请与核发技术规范 医疗机构》（HJ1105-2020）</w:t>
            </w:r>
            <w:r>
              <w:rPr>
                <w:rFonts w:hint="eastAsia" w:eastAsia="黑体"/>
                <w:bCs/>
                <w:color w:val="auto"/>
                <w:szCs w:val="21"/>
                <w:highlight w:val="none"/>
              </w:rPr>
              <w:t>中相关要求：“结核病、传染病专科医疗机构需按频次监测结核杆菌，收治传染病病人的医院应加强对肠道病毒和其他肠道致病菌的监测”，</w:t>
            </w:r>
            <w:r>
              <w:rPr>
                <w:rFonts w:hint="eastAsia" w:ascii="黑体" w:hAnsi="黑体" w:eastAsia="黑体"/>
                <w:bCs/>
                <w:color w:val="auto"/>
                <w:szCs w:val="21"/>
                <w:highlight w:val="none"/>
              </w:rPr>
              <w:t>本项目为</w:t>
            </w:r>
            <w:r>
              <w:rPr>
                <w:rFonts w:hint="eastAsia" w:ascii="黑体" w:hAnsi="黑体" w:eastAsia="黑体"/>
                <w:bCs/>
                <w:color w:val="auto"/>
                <w:szCs w:val="21"/>
                <w:highlight w:val="none"/>
                <w:lang w:eastAsia="zh-CN"/>
              </w:rPr>
              <w:t>宣汉同盛医院建设项目</w:t>
            </w:r>
            <w:r>
              <w:rPr>
                <w:rFonts w:hint="eastAsia" w:ascii="黑体" w:hAnsi="黑体" w:eastAsia="黑体"/>
                <w:bCs/>
                <w:color w:val="auto"/>
                <w:szCs w:val="21"/>
                <w:highlight w:val="none"/>
              </w:rPr>
              <w:t>，属于综合医院，项目不设传染科门诊与病房，因此，未将结核杆菌、肠道病毒和其他肠道致病菌纳入废水监测指标。</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三、噪声</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营运期</w:t>
            </w:r>
            <w:r>
              <w:rPr>
                <w:rFonts w:hint="default" w:ascii="Times New Roman" w:hAnsi="Times New Roman" w:cs="Times New Roman"/>
                <w:b/>
                <w:bCs/>
                <w:color w:val="auto"/>
                <w:sz w:val="24"/>
                <w:szCs w:val="24"/>
                <w:highlight w:val="none"/>
                <w:lang w:val="en-US" w:eastAsia="zh-CN"/>
              </w:rPr>
              <w:t>噪声</w:t>
            </w:r>
            <w:r>
              <w:rPr>
                <w:rFonts w:hint="eastAsia" w:cs="Times New Roman"/>
                <w:b/>
                <w:bCs/>
                <w:color w:val="auto"/>
                <w:sz w:val="24"/>
                <w:szCs w:val="24"/>
                <w:highlight w:val="none"/>
                <w:lang w:val="en-US" w:eastAsia="zh-CN"/>
              </w:rPr>
              <w:t>污染源分析</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营运期</w:t>
            </w:r>
            <w:r>
              <w:rPr>
                <w:rFonts w:hint="default" w:ascii="Times New Roman" w:hAnsi="Times New Roman" w:cs="Times New Roman"/>
                <w:color w:val="auto"/>
                <w:sz w:val="24"/>
                <w:szCs w:val="24"/>
                <w:highlight w:val="none"/>
                <w:lang w:val="en-US" w:eastAsia="zh-CN"/>
              </w:rPr>
              <w:t>噪声主要为设备噪声、人员活动噪声和车辆交通噪声</w:t>
            </w:r>
            <w:r>
              <w:rPr>
                <w:rFonts w:hint="eastAsia" w:cs="Times New Roman"/>
                <w:color w:val="auto"/>
                <w:sz w:val="24"/>
                <w:szCs w:val="24"/>
                <w:highlight w:val="none"/>
                <w:lang w:val="en-US" w:eastAsia="zh-CN"/>
              </w:rPr>
              <w:t>，其中：设备噪声值约为55~85dB(A)，人群活动噪声值约为60dB(A)，车辆交通噪声值约为60~75dB(A)。</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为确保项目</w:t>
            </w:r>
            <w:r>
              <w:rPr>
                <w:rFonts w:hint="eastAsia" w:cs="Times New Roman"/>
                <w:color w:val="auto"/>
                <w:sz w:val="24"/>
                <w:szCs w:val="24"/>
                <w:highlight w:val="none"/>
                <w:lang w:val="en-US" w:eastAsia="zh-CN"/>
              </w:rPr>
              <w:t>营运期</w:t>
            </w:r>
            <w:r>
              <w:rPr>
                <w:rFonts w:hint="default" w:ascii="Times New Roman" w:hAnsi="Times New Roman" w:cs="Times New Roman"/>
                <w:color w:val="auto"/>
                <w:sz w:val="24"/>
                <w:szCs w:val="24"/>
                <w:highlight w:val="none"/>
                <w:lang w:val="en-US" w:eastAsia="zh-CN"/>
              </w:rPr>
              <w:t>厂界噪声达到《工业企业厂界环境噪声排放标准》（GB12348-2008）中2类标准，</w:t>
            </w:r>
            <w:r>
              <w:rPr>
                <w:rFonts w:hint="eastAsia" w:cs="Times New Roman"/>
                <w:color w:val="auto"/>
                <w:sz w:val="24"/>
                <w:szCs w:val="24"/>
                <w:highlight w:val="none"/>
                <w:lang w:val="en-US" w:eastAsia="zh-CN"/>
              </w:rPr>
              <w:t>本次环评建议</w:t>
            </w:r>
            <w:r>
              <w:rPr>
                <w:rFonts w:hint="default" w:ascii="Times New Roman" w:hAnsi="Times New Roman" w:cs="Times New Roman"/>
                <w:color w:val="auto"/>
                <w:sz w:val="24"/>
                <w:szCs w:val="24"/>
                <w:highlight w:val="none"/>
                <w:lang w:val="en-US" w:eastAsia="zh-CN"/>
              </w:rPr>
              <w:t>采取</w:t>
            </w:r>
            <w:r>
              <w:rPr>
                <w:rFonts w:hint="eastAsia" w:cs="Times New Roman"/>
                <w:color w:val="auto"/>
                <w:sz w:val="24"/>
                <w:szCs w:val="24"/>
                <w:highlight w:val="none"/>
                <w:lang w:val="en-US" w:eastAsia="zh-CN"/>
              </w:rPr>
              <w:t>以下</w:t>
            </w:r>
            <w:r>
              <w:rPr>
                <w:rFonts w:hint="default" w:ascii="Times New Roman" w:hAnsi="Times New Roman" w:cs="Times New Roman"/>
                <w:color w:val="auto"/>
                <w:sz w:val="24"/>
                <w:szCs w:val="24"/>
                <w:highlight w:val="none"/>
                <w:lang w:val="en-US" w:eastAsia="zh-CN"/>
              </w:rPr>
              <w:t>噪声防治措施：</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①医疗设备</w:t>
            </w:r>
            <w:r>
              <w:rPr>
                <w:rFonts w:hint="eastAsia" w:cs="Times New Roman"/>
                <w:color w:val="auto"/>
                <w:sz w:val="24"/>
                <w:szCs w:val="24"/>
                <w:highlight w:val="none"/>
                <w:lang w:val="en-US" w:eastAsia="zh-CN"/>
              </w:rPr>
              <w:t>、医用制氧系统和血透用水水处理系统等设备：选用低噪声</w:t>
            </w:r>
            <w:r>
              <w:rPr>
                <w:rFonts w:hint="default" w:ascii="Times New Roman" w:hAnsi="Times New Roman" w:cs="Times New Roman"/>
                <w:color w:val="auto"/>
                <w:sz w:val="24"/>
                <w:szCs w:val="24"/>
                <w:highlight w:val="none"/>
                <w:lang w:val="en-US" w:eastAsia="zh-CN"/>
              </w:rPr>
              <w:t>设备</w:t>
            </w:r>
            <w:r>
              <w:rPr>
                <w:rFonts w:hint="eastAsia" w:cs="Times New Roman"/>
                <w:color w:val="auto"/>
                <w:sz w:val="24"/>
                <w:szCs w:val="24"/>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②空调噪声</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采用低噪声的分体式挂式空调</w:t>
            </w:r>
            <w:r>
              <w:rPr>
                <w:rFonts w:hint="eastAsia" w:cs="Times New Roman"/>
                <w:color w:val="auto"/>
                <w:sz w:val="24"/>
                <w:szCs w:val="24"/>
                <w:highlight w:val="none"/>
                <w:lang w:val="en-US" w:eastAsia="zh-CN"/>
              </w:rPr>
              <w:t>，同时</w:t>
            </w:r>
            <w:r>
              <w:rPr>
                <w:rFonts w:hint="default" w:ascii="Times New Roman" w:hAnsi="Times New Roman" w:cs="Times New Roman"/>
                <w:color w:val="auto"/>
                <w:sz w:val="24"/>
                <w:szCs w:val="24"/>
                <w:highlight w:val="none"/>
                <w:lang w:val="en-US" w:eastAsia="zh-CN"/>
              </w:rPr>
              <w:t>空调外机通过安装减震垫、加强维护保养等措施进行控制。</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lang w:val="en-US" w:eastAsia="zh-CN"/>
              </w:rPr>
              <w:t>③</w:t>
            </w:r>
            <w:r>
              <w:rPr>
                <w:rFonts w:hint="eastAsia" w:cs="Times New Roman"/>
                <w:color w:val="auto"/>
                <w:sz w:val="24"/>
                <w:szCs w:val="24"/>
                <w:highlight w:val="none"/>
                <w:lang w:val="en-US" w:eastAsia="zh-CN"/>
              </w:rPr>
              <w:t>一体化污水处理设施：</w:t>
            </w:r>
            <w:r>
              <w:rPr>
                <w:rFonts w:hint="eastAsia" w:cs="Times New Roman"/>
                <w:color w:val="auto"/>
                <w:sz w:val="24"/>
                <w:highlight w:val="none"/>
                <w:lang w:eastAsia="zh-CN"/>
              </w:rPr>
              <w:t>一体化污水处理设施</w:t>
            </w:r>
            <w:r>
              <w:rPr>
                <w:rFonts w:hint="eastAsia" w:cs="Times New Roman"/>
                <w:color w:val="auto"/>
                <w:sz w:val="24"/>
                <w:highlight w:val="none"/>
                <w:lang w:val="en-US" w:eastAsia="zh-CN"/>
              </w:rPr>
              <w:t>设置于地下室</w:t>
            </w:r>
            <w:r>
              <w:rPr>
                <w:rFonts w:hint="default" w:ascii="Times New Roman" w:hAnsi="Times New Roman" w:cs="Times New Roman"/>
                <w:color w:val="auto"/>
                <w:sz w:val="24"/>
                <w:highlight w:val="none"/>
              </w:rPr>
              <w:t>，水泵、风机等均设置于</w:t>
            </w:r>
            <w:r>
              <w:rPr>
                <w:rFonts w:hint="eastAsia" w:cs="Times New Roman"/>
                <w:color w:val="auto"/>
                <w:sz w:val="24"/>
                <w:highlight w:val="none"/>
                <w:lang w:val="en-US" w:eastAsia="zh-CN"/>
              </w:rPr>
              <w:t>污水设施内部有一定的</w:t>
            </w:r>
            <w:r>
              <w:rPr>
                <w:rFonts w:hint="default" w:ascii="Times New Roman" w:hAnsi="Times New Roman" w:cs="Times New Roman"/>
                <w:color w:val="auto"/>
                <w:sz w:val="24"/>
                <w:highlight w:val="none"/>
              </w:rPr>
              <w:t>隔声</w:t>
            </w:r>
            <w:r>
              <w:rPr>
                <w:rFonts w:hint="eastAsia" w:cs="Times New Roman"/>
                <w:color w:val="auto"/>
                <w:sz w:val="24"/>
                <w:highlight w:val="none"/>
                <w:lang w:val="en-US" w:eastAsia="zh-CN"/>
              </w:rPr>
              <w:t>作用</w:t>
            </w:r>
            <w:r>
              <w:rPr>
                <w:rFonts w:hint="default" w:ascii="Times New Roman" w:hAnsi="Times New Roman" w:cs="Times New Roman"/>
                <w:color w:val="auto"/>
                <w:sz w:val="24"/>
                <w:highlight w:val="none"/>
              </w:rPr>
              <w:t>。水泵加装减振器，进水管道设可曲挠管道橡胶伸缩接头以减小水锤冲击和水泵振动产生噪声，连接水泵进出口的水管、进出机房隔墙处与运转设备连接的管道均采用减振吊架。其余设备放置在</w:t>
            </w:r>
            <w:r>
              <w:rPr>
                <w:rFonts w:hint="default" w:ascii="Times New Roman" w:hAnsi="Times New Roman" w:cs="Times New Roman"/>
                <w:color w:val="auto"/>
                <w:sz w:val="24"/>
                <w:highlight w:val="none"/>
                <w:lang w:val="en-US" w:eastAsia="zh-CN"/>
              </w:rPr>
              <w:t>污水处理控制室</w:t>
            </w:r>
            <w:r>
              <w:rPr>
                <w:rFonts w:hint="default" w:ascii="Times New Roman" w:hAnsi="Times New Roman" w:cs="Times New Roman"/>
                <w:color w:val="auto"/>
                <w:sz w:val="24"/>
                <w:highlight w:val="none"/>
              </w:rPr>
              <w:t>内，通过建筑墙体隔声等可以阻隔噪声传递，降低噪声对外界影响。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④柴油发电机噪声</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通过选取低噪声设备，并配置消声、减震等措施减小设备噪声，同时置于发电机房，通过房间隔声减小噪声。</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b w:val="0"/>
                <w:bCs w:val="0"/>
                <w:color w:val="auto"/>
                <w:sz w:val="24"/>
                <w:szCs w:val="24"/>
                <w:highlight w:val="none"/>
                <w:lang w:val="en-US" w:eastAsia="zh-CN"/>
              </w:rPr>
              <w:t>⑤</w:t>
            </w:r>
            <w:r>
              <w:rPr>
                <w:rFonts w:hint="default" w:ascii="Times New Roman" w:hAnsi="Times New Roman" w:cs="Times New Roman"/>
                <w:color w:val="auto"/>
                <w:sz w:val="24"/>
                <w:szCs w:val="24"/>
                <w:highlight w:val="none"/>
                <w:lang w:val="en-US" w:eastAsia="zh-CN"/>
              </w:rPr>
              <w:t>人群活动噪声</w:t>
            </w:r>
            <w:r>
              <w:rPr>
                <w:rFonts w:hint="eastAsia" w:cs="Times New Roman"/>
                <w:b w:val="0"/>
                <w:bCs w:val="0"/>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人群活动噪声是不稳定的、短暂的，通过加强管理和宣传教育，医院内禁止喧哗、吵闹，可有效控制由于人群活动对声环境的影响。</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eastAsia" w:cs="Times New Roman"/>
                <w:b w:val="0"/>
                <w:bCs w:val="0"/>
                <w:color w:val="auto"/>
                <w:sz w:val="24"/>
                <w:highlight w:val="none"/>
                <w:lang w:val="en-US" w:eastAsia="zh-CN"/>
              </w:rPr>
              <w:t>⑥</w:t>
            </w:r>
            <w:r>
              <w:rPr>
                <w:rFonts w:hint="default" w:ascii="Times New Roman" w:hAnsi="Times New Roman" w:cs="Times New Roman"/>
                <w:b w:val="0"/>
                <w:bCs w:val="0"/>
                <w:color w:val="auto"/>
                <w:sz w:val="24"/>
                <w:highlight w:val="none"/>
              </w:rPr>
              <w:t>车辆</w:t>
            </w:r>
            <w:r>
              <w:rPr>
                <w:rFonts w:hint="default" w:ascii="Times New Roman" w:hAnsi="Times New Roman" w:cs="Times New Roman"/>
                <w:b w:val="0"/>
                <w:bCs w:val="0"/>
                <w:color w:val="auto"/>
                <w:sz w:val="24"/>
                <w:highlight w:val="none"/>
                <w:lang w:val="en-US" w:eastAsia="zh-CN"/>
              </w:rPr>
              <w:t>交通</w:t>
            </w:r>
            <w:r>
              <w:rPr>
                <w:rFonts w:hint="default" w:ascii="Times New Roman" w:hAnsi="Times New Roman" w:cs="Times New Roman"/>
                <w:b w:val="0"/>
                <w:bCs w:val="0"/>
                <w:color w:val="auto"/>
                <w:sz w:val="24"/>
                <w:highlight w:val="none"/>
              </w:rPr>
              <w:t>噪声</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通过</w:t>
            </w:r>
            <w:r>
              <w:rPr>
                <w:rFonts w:hint="default" w:ascii="Times New Roman" w:hAnsi="Times New Roman" w:cs="Times New Roman"/>
                <w:color w:val="auto"/>
                <w:sz w:val="24"/>
                <w:highlight w:val="none"/>
              </w:rPr>
              <w:t>预留救护车通道，使进出畅驶入停场的车辆不得怠速停车，并使车辆进出畅通，消除在医院发生阻塞道路、鸣笛现象的可能；同时规范管理院内地面区域，项目区内禁鸣喇叭，尽量减少机动车频繁启运和怠速，规范停车场的停车秩序等措施，尽量减少机动车停车数量，减少机动车噪声对医院及周边环境的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项目噪声产生位置及治理措施见下表。</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kern w:val="2"/>
                <w:sz w:val="21"/>
                <w:szCs w:val="21"/>
                <w:highlight w:val="none"/>
                <w:lang w:val="en-US" w:eastAsia="zh-CN" w:bidi="ar-SA"/>
              </w:rPr>
              <w:t>4-</w:t>
            </w:r>
            <w:r>
              <w:rPr>
                <w:rFonts w:hint="eastAsia" w:eastAsia="黑体" w:cs="Times New Roman"/>
                <w:color w:val="auto"/>
                <w:kern w:val="2"/>
                <w:sz w:val="21"/>
                <w:szCs w:val="21"/>
                <w:highlight w:val="none"/>
                <w:lang w:val="en-US" w:eastAsia="zh-CN" w:bidi="ar-SA"/>
              </w:rPr>
              <w:t>9</w:t>
            </w:r>
            <w:r>
              <w:rPr>
                <w:rFonts w:hint="default" w:ascii="Times New Roman" w:hAnsi="Times New Roman" w:eastAsia="黑体" w:cs="Times New Roman"/>
                <w:color w:val="auto"/>
                <w:kern w:val="2"/>
                <w:sz w:val="21"/>
                <w:szCs w:val="21"/>
                <w:highlight w:val="none"/>
                <w:lang w:val="en-US" w:eastAsia="zh-CN" w:bidi="ar-SA"/>
              </w:rPr>
              <w:t xml:space="preserve"> 项目噪声产生位置及治理措施  单位：</w:t>
            </w:r>
            <w:r>
              <w:rPr>
                <w:rFonts w:hint="default" w:ascii="Times New Roman" w:hAnsi="Times New Roman" w:cs="Times New Roman"/>
                <w:color w:val="auto"/>
                <w:spacing w:val="4"/>
                <w:sz w:val="21"/>
                <w:szCs w:val="22"/>
                <w:highlight w:val="none"/>
                <w:lang w:val="en-US" w:eastAsia="zh-CN"/>
              </w:rPr>
              <w:t>dB（A）</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769"/>
              <w:gridCol w:w="969"/>
              <w:gridCol w:w="1904"/>
              <w:gridCol w:w="2764"/>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pacing w:val="4"/>
                      <w:szCs w:val="21"/>
                      <w:highlight w:val="none"/>
                      <w:lang w:val="en-US" w:eastAsia="zh-CN"/>
                    </w:rPr>
                  </w:pPr>
                  <w:r>
                    <w:rPr>
                      <w:rFonts w:hint="default" w:ascii="Times New Roman" w:hAnsi="Times New Roman" w:cs="Times New Roman"/>
                      <w:b/>
                      <w:bCs/>
                      <w:color w:val="auto"/>
                      <w:spacing w:val="4"/>
                      <w:szCs w:val="21"/>
                      <w:highlight w:val="none"/>
                      <w:lang w:val="en-US" w:eastAsia="zh-CN"/>
                    </w:rPr>
                    <w:t>噪声源</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pacing w:val="4"/>
                      <w:szCs w:val="21"/>
                      <w:highlight w:val="none"/>
                      <w:lang w:val="en-US" w:eastAsia="zh-CN"/>
                    </w:rPr>
                  </w:pPr>
                  <w:r>
                    <w:rPr>
                      <w:rFonts w:hint="default" w:ascii="Times New Roman" w:hAnsi="Times New Roman" w:cs="Times New Roman"/>
                      <w:b/>
                      <w:bCs/>
                      <w:color w:val="auto"/>
                      <w:spacing w:val="4"/>
                      <w:szCs w:val="21"/>
                      <w:highlight w:val="none"/>
                      <w:lang w:val="en-US" w:eastAsia="zh-CN"/>
                    </w:rPr>
                    <w:t>源强</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pacing w:val="4"/>
                      <w:szCs w:val="21"/>
                      <w:highlight w:val="none"/>
                      <w:lang w:val="en-US" w:eastAsia="zh-CN"/>
                    </w:rPr>
                  </w:pPr>
                  <w:r>
                    <w:rPr>
                      <w:rFonts w:hint="default" w:ascii="Times New Roman" w:hAnsi="Times New Roman" w:cs="Times New Roman"/>
                      <w:b/>
                      <w:bCs/>
                      <w:color w:val="auto"/>
                      <w:spacing w:val="4"/>
                      <w:szCs w:val="21"/>
                      <w:highlight w:val="none"/>
                      <w:lang w:val="en-US" w:eastAsia="zh-CN"/>
                    </w:rPr>
                    <w:t>噪声源数量</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pacing w:val="4"/>
                      <w:szCs w:val="21"/>
                      <w:highlight w:val="none"/>
                      <w:lang w:val="en-US" w:eastAsia="zh-CN"/>
                    </w:rPr>
                  </w:pPr>
                  <w:r>
                    <w:rPr>
                      <w:rFonts w:hint="default" w:ascii="Times New Roman" w:hAnsi="Times New Roman" w:cs="Times New Roman"/>
                      <w:b/>
                      <w:bCs/>
                      <w:color w:val="auto"/>
                      <w:spacing w:val="4"/>
                      <w:szCs w:val="21"/>
                      <w:highlight w:val="none"/>
                      <w:lang w:val="en-US" w:eastAsia="zh-CN"/>
                    </w:rPr>
                    <w:t>产生位置</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pacing w:val="4"/>
                      <w:szCs w:val="21"/>
                      <w:highlight w:val="none"/>
                      <w:lang w:val="en-US" w:eastAsia="zh-CN"/>
                    </w:rPr>
                  </w:pPr>
                  <w:r>
                    <w:rPr>
                      <w:rFonts w:hint="eastAsia" w:cs="Times New Roman"/>
                      <w:b/>
                      <w:bCs/>
                      <w:color w:val="auto"/>
                      <w:spacing w:val="4"/>
                      <w:szCs w:val="21"/>
                      <w:highlight w:val="none"/>
                      <w:lang w:val="en-US" w:eastAsia="zh-CN"/>
                    </w:rPr>
                    <w:t>治理</w:t>
                  </w:r>
                  <w:r>
                    <w:rPr>
                      <w:rFonts w:hint="default" w:ascii="Times New Roman" w:hAnsi="Times New Roman" w:cs="Times New Roman"/>
                      <w:b/>
                      <w:bCs/>
                      <w:color w:val="auto"/>
                      <w:spacing w:val="4"/>
                      <w:szCs w:val="21"/>
                      <w:highlight w:val="none"/>
                      <w:lang w:val="en-US" w:eastAsia="zh-CN"/>
                    </w:rPr>
                    <w:t>措施</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pacing w:val="4"/>
                      <w:szCs w:val="21"/>
                      <w:highlight w:val="none"/>
                      <w:lang w:val="en-US" w:eastAsia="zh-CN"/>
                    </w:rPr>
                  </w:pPr>
                  <w:r>
                    <w:rPr>
                      <w:rFonts w:hint="default" w:ascii="Times New Roman" w:hAnsi="Times New Roman" w:cs="Times New Roman"/>
                      <w:b/>
                      <w:bCs/>
                      <w:color w:val="auto"/>
                      <w:spacing w:val="4"/>
                      <w:szCs w:val="21"/>
                      <w:highlight w:val="none"/>
                      <w:lang w:val="en-US" w:eastAsia="zh-CN"/>
                    </w:rPr>
                    <w:t>处理后噪声级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医疗设备噪声</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60</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若干</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eastAsia" w:cs="Times New Roman"/>
                      <w:color w:val="auto"/>
                      <w:spacing w:val="4"/>
                      <w:szCs w:val="21"/>
                      <w:highlight w:val="none"/>
                      <w:lang w:val="en-US" w:eastAsia="zh-CN"/>
                    </w:rPr>
                    <w:t>住院部、发热门诊、业务楼（1F）</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隔声、低噪声设备</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空调噪声</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55~60</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lang w:val="en-US" w:eastAsia="zh-CN"/>
                    </w:rPr>
                    <w:t>若干</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rPr>
                  </w:pPr>
                  <w:r>
                    <w:rPr>
                      <w:rFonts w:hint="eastAsia" w:cs="Times New Roman"/>
                      <w:color w:val="auto"/>
                      <w:spacing w:val="4"/>
                      <w:szCs w:val="21"/>
                      <w:highlight w:val="none"/>
                      <w:lang w:val="en-US" w:eastAsia="zh-CN"/>
                    </w:rPr>
                    <w:t>住院部、发热门诊、业务楼</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安装减震垫、加强维修保养</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eastAsia" w:cs="Times New Roman"/>
                      <w:color w:val="auto"/>
                      <w:spacing w:val="4"/>
                      <w:szCs w:val="21"/>
                      <w:highlight w:val="none"/>
                      <w:lang w:val="en-US" w:eastAsia="zh-CN"/>
                    </w:rPr>
                    <w:t>一体化污水处理设施</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75</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1座</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eastAsia" w:cs="Times New Roman"/>
                      <w:b w:val="0"/>
                      <w:bCs w:val="0"/>
                      <w:color w:val="auto"/>
                      <w:spacing w:val="4"/>
                      <w:szCs w:val="21"/>
                      <w:highlight w:val="none"/>
                      <w:lang w:val="en-US" w:eastAsia="zh-CN"/>
                    </w:rPr>
                    <w:t>住院部-1F</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地埋式隔声、距离衰减</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4"/>
                      <w:szCs w:val="21"/>
                      <w:highlight w:val="none"/>
                      <w:lang w:val="en-US" w:eastAsia="zh-CN"/>
                    </w:rPr>
                    <w:t>柴油发电机</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4"/>
                      <w:szCs w:val="21"/>
                      <w:highlight w:val="none"/>
                      <w:lang w:val="en-US" w:eastAsia="zh-CN"/>
                    </w:rPr>
                    <w:t>85</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4"/>
                      <w:szCs w:val="21"/>
                      <w:highlight w:val="none"/>
                      <w:lang w:val="en-US" w:eastAsia="zh-CN"/>
                    </w:rPr>
                    <w:t>1台</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发电机房</w:t>
                  </w:r>
                </w:p>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eastAsia" w:cs="Times New Roman"/>
                      <w:color w:val="auto"/>
                      <w:spacing w:val="4"/>
                      <w:szCs w:val="21"/>
                      <w:highlight w:val="none"/>
                      <w:lang w:val="en-US" w:eastAsia="zh-CN"/>
                    </w:rPr>
                    <w:t>（发热门诊-1F）</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设置独立发电机房、安装减震垫、加强维护保养</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血透用水水处理系统</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70</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1套</w:t>
                  </w:r>
                </w:p>
              </w:tc>
              <w:tc>
                <w:tcPr>
                  <w:tcW w:w="1050" w:type="pct"/>
                  <w:noWrap w:val="0"/>
                  <w:vAlign w:val="center"/>
                </w:tcPr>
                <w:p>
                  <w:pPr>
                    <w:keepNext w:val="0"/>
                    <w:keepLines w:val="0"/>
                    <w:pageBreakBefore w:val="0"/>
                    <w:wordWrap/>
                    <w:topLinePunct w:val="0"/>
                    <w:bidi w:val="0"/>
                    <w:spacing w:line="240" w:lineRule="auto"/>
                    <w:ind w:left="0" w:leftChars="0"/>
                    <w:jc w:val="center"/>
                    <w:rPr>
                      <w:rFonts w:hint="eastAsia" w:cs="Times New Roman"/>
                      <w:color w:val="auto"/>
                      <w:spacing w:val="4"/>
                      <w:szCs w:val="21"/>
                      <w:highlight w:val="none"/>
                      <w:lang w:val="en-US" w:eastAsia="zh-CN"/>
                    </w:rPr>
                  </w:pPr>
                  <w:r>
                    <w:rPr>
                      <w:rFonts w:hint="eastAsia" w:cs="Times New Roman"/>
                      <w:color w:val="auto"/>
                      <w:spacing w:val="4"/>
                      <w:szCs w:val="21"/>
                      <w:highlight w:val="none"/>
                      <w:lang w:val="en-US" w:eastAsia="zh-CN"/>
                    </w:rPr>
                    <w:t>水机房</w:t>
                  </w:r>
                </w:p>
                <w:p>
                  <w:pPr>
                    <w:keepNext w:val="0"/>
                    <w:keepLines w:val="0"/>
                    <w:pageBreakBefore w:val="0"/>
                    <w:wordWrap/>
                    <w:topLinePunct w:val="0"/>
                    <w:bidi w:val="0"/>
                    <w:spacing w:line="240" w:lineRule="auto"/>
                    <w:ind w:left="0" w:leftChars="0"/>
                    <w:jc w:val="center"/>
                    <w:rPr>
                      <w:rFonts w:hint="default" w:cs="Times New Roman"/>
                      <w:color w:val="auto"/>
                      <w:spacing w:val="4"/>
                      <w:szCs w:val="21"/>
                      <w:highlight w:val="none"/>
                      <w:lang w:val="en-US" w:eastAsia="zh-CN"/>
                    </w:rPr>
                  </w:pPr>
                  <w:r>
                    <w:rPr>
                      <w:rFonts w:hint="eastAsia" w:cs="Times New Roman"/>
                      <w:color w:val="auto"/>
                      <w:spacing w:val="4"/>
                      <w:szCs w:val="21"/>
                      <w:highlight w:val="none"/>
                      <w:lang w:val="en-US" w:eastAsia="zh-CN"/>
                    </w:rPr>
                    <w:t>（业务楼1F）</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隔声、安装减震垫</w:t>
                  </w:r>
                  <w:r>
                    <w:rPr>
                      <w:rFonts w:hint="eastAsia" w:cs="Times New Roman"/>
                      <w:color w:val="auto"/>
                      <w:spacing w:val="4"/>
                      <w:szCs w:val="21"/>
                      <w:highlight w:val="none"/>
                      <w:lang w:val="en-US" w:eastAsia="zh-CN"/>
                    </w:rPr>
                    <w:t>、</w:t>
                  </w:r>
                  <w:r>
                    <w:rPr>
                      <w:rFonts w:hint="default" w:ascii="Times New Roman" w:hAnsi="Times New Roman" w:cs="Times New Roman"/>
                      <w:color w:val="auto"/>
                      <w:spacing w:val="4"/>
                      <w:szCs w:val="21"/>
                      <w:highlight w:val="none"/>
                      <w:lang w:val="en-US" w:eastAsia="zh-CN"/>
                    </w:rPr>
                    <w:t>低噪声设备</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医用制氧系统</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85</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2</w:t>
                  </w:r>
                  <w:r>
                    <w:rPr>
                      <w:rFonts w:hint="default" w:ascii="Times New Roman" w:hAnsi="Times New Roman" w:cs="Times New Roman"/>
                      <w:color w:val="auto"/>
                      <w:spacing w:val="4"/>
                      <w:szCs w:val="21"/>
                      <w:highlight w:val="none"/>
                      <w:lang w:val="en-US" w:eastAsia="zh-CN"/>
                    </w:rPr>
                    <w:t>台</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住院部楼顶</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隔声、低噪声设备</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eastAsia" w:cs="Times New Roman"/>
                      <w:color w:val="auto"/>
                      <w:spacing w:val="4"/>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4"/>
                      <w:szCs w:val="21"/>
                      <w:highlight w:val="none"/>
                      <w:lang w:val="en-US" w:eastAsia="zh-CN"/>
                    </w:rPr>
                    <w:t>人</w:t>
                  </w:r>
                  <w:r>
                    <w:rPr>
                      <w:rFonts w:hint="eastAsia" w:cs="Times New Roman"/>
                      <w:color w:val="auto"/>
                      <w:spacing w:val="4"/>
                      <w:szCs w:val="21"/>
                      <w:highlight w:val="none"/>
                      <w:lang w:val="en-US" w:eastAsia="zh-CN"/>
                    </w:rPr>
                    <w:t>群</w:t>
                  </w:r>
                  <w:r>
                    <w:rPr>
                      <w:rFonts w:hint="default" w:ascii="Times New Roman" w:hAnsi="Times New Roman" w:cs="Times New Roman"/>
                      <w:color w:val="auto"/>
                      <w:spacing w:val="4"/>
                      <w:szCs w:val="21"/>
                      <w:highlight w:val="none"/>
                      <w:lang w:val="en-US" w:eastAsia="zh-CN"/>
                    </w:rPr>
                    <w:t>活动噪声</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4"/>
                      <w:szCs w:val="21"/>
                      <w:highlight w:val="none"/>
                      <w:lang w:val="en-US" w:eastAsia="zh-CN"/>
                    </w:rPr>
                    <w:t>60</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院内</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加强管理和宣传教育，医院内禁止喧哗、吵闹</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96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车辆交通噪声</w:t>
                  </w:r>
                </w:p>
              </w:tc>
              <w:tc>
                <w:tcPr>
                  <w:tcW w:w="4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60~75</w:t>
                  </w:r>
                </w:p>
              </w:tc>
              <w:tc>
                <w:tcPr>
                  <w:tcW w:w="53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若干</w:t>
                  </w:r>
                </w:p>
              </w:tc>
              <w:tc>
                <w:tcPr>
                  <w:tcW w:w="1050"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w:t>
                  </w:r>
                </w:p>
              </w:tc>
              <w:tc>
                <w:tcPr>
                  <w:tcW w:w="152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zCs w:val="21"/>
                      <w:highlight w:val="none"/>
                    </w:rPr>
                    <w:t>减速慢行，加强管理、设置禁止鸣笛等标识标牌</w:t>
                  </w:r>
                </w:p>
              </w:tc>
              <w:tc>
                <w:tcPr>
                  <w:tcW w:w="50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pacing w:val="4"/>
                      <w:szCs w:val="21"/>
                      <w:highlight w:val="none"/>
                      <w:lang w:val="en-US" w:eastAsia="zh-CN"/>
                    </w:rPr>
                  </w:pPr>
                  <w:r>
                    <w:rPr>
                      <w:rFonts w:hint="default" w:ascii="Times New Roman" w:hAnsi="Times New Roman" w:cs="Times New Roman"/>
                      <w:color w:val="auto"/>
                      <w:spacing w:val="4"/>
                      <w:szCs w:val="21"/>
                      <w:highlight w:val="none"/>
                      <w:lang w:val="en-US" w:eastAsia="zh-CN"/>
                    </w:rPr>
                    <w:t>50</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2、声</w:t>
            </w:r>
            <w:r>
              <w:rPr>
                <w:rFonts w:hint="eastAsia" w:cs="Times New Roman"/>
                <w:b/>
                <w:bCs/>
                <w:color w:val="auto"/>
                <w:sz w:val="24"/>
                <w:szCs w:val="24"/>
                <w:highlight w:val="none"/>
                <w:lang w:val="en-US" w:eastAsia="zh-CN"/>
              </w:rPr>
              <w:t>环境影响分析</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（1）评价方法及预测模式</w:t>
            </w:r>
          </w:p>
          <w:p>
            <w:pPr>
              <w:keepNext w:val="0"/>
              <w:keepLines w:val="0"/>
              <w:pageBreakBefore w:val="0"/>
              <w:wordWrap/>
              <w:topLinePunct w:val="0"/>
              <w:bidi w:val="0"/>
              <w:spacing w:line="360" w:lineRule="auto"/>
              <w:ind w:left="0" w:leftChars="0" w:firstLine="480" w:firstLineChars="200"/>
              <w:rPr>
                <w:color w:val="auto"/>
                <w:sz w:val="24"/>
                <w:szCs w:val="24"/>
                <w:highlight w:val="none"/>
              </w:rPr>
            </w:pPr>
            <w:r>
              <w:rPr>
                <w:rFonts w:hint="eastAsia"/>
                <w:color w:val="auto"/>
                <w:sz w:val="24"/>
                <w:szCs w:val="24"/>
                <w:highlight w:val="none"/>
              </w:rPr>
              <w:t>本次评价噪声预测采用点声源衰减模式，仅考虑距离衰减值、厂界围墙屏障等因素，预测公式为：</w:t>
            </w:r>
          </w:p>
          <w:p>
            <w:pPr>
              <w:keepNext w:val="0"/>
              <w:keepLines w:val="0"/>
              <w:pageBreakBefore w:val="0"/>
              <w:wordWrap/>
              <w:topLinePunct w:val="0"/>
              <w:bidi w:val="0"/>
              <w:spacing w:line="360" w:lineRule="auto"/>
              <w:ind w:left="0" w:leftChars="0"/>
              <w:jc w:val="center"/>
              <w:rPr>
                <w:color w:val="auto"/>
                <w:sz w:val="24"/>
                <w:szCs w:val="24"/>
                <w:highlight w:val="none"/>
              </w:rPr>
            </w:pPr>
            <w:r>
              <w:rPr>
                <w:color w:val="auto"/>
                <w:position w:val="-32"/>
                <w:sz w:val="24"/>
                <w:szCs w:val="24"/>
                <w:highlight w:val="none"/>
              </w:rPr>
              <w:object>
                <v:shape id="_x0000_i1032" o:spt="75" type="#_x0000_t75" style="height:28.5pt;width:144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p>
          <w:p>
            <w:pPr>
              <w:keepNext w:val="0"/>
              <w:keepLines w:val="0"/>
              <w:pageBreakBefore w:val="0"/>
              <w:wordWrap/>
              <w:topLinePunct w:val="0"/>
              <w:bidi w:val="0"/>
              <w:spacing w:line="360" w:lineRule="auto"/>
              <w:ind w:left="0" w:leftChars="0" w:firstLine="480"/>
              <w:rPr>
                <w:color w:val="auto"/>
                <w:sz w:val="24"/>
                <w:szCs w:val="24"/>
                <w:highlight w:val="none"/>
              </w:rPr>
            </w:pPr>
            <w:r>
              <w:rPr>
                <w:rFonts w:hint="eastAsia"/>
                <w:color w:val="auto"/>
                <w:sz w:val="24"/>
                <w:szCs w:val="24"/>
                <w:highlight w:val="none"/>
              </w:rPr>
              <w:t>式中</w:t>
            </w:r>
            <w:r>
              <w:rPr>
                <w:color w:val="auto"/>
                <w:sz w:val="24"/>
                <w:szCs w:val="24"/>
                <w:highlight w:val="none"/>
              </w:rPr>
              <w:t>，</w:t>
            </w:r>
            <w:r>
              <w:rPr>
                <w:i/>
                <w:color w:val="auto"/>
                <w:sz w:val="24"/>
                <w:szCs w:val="24"/>
                <w:highlight w:val="none"/>
              </w:rPr>
              <w:t>L</w:t>
            </w:r>
            <w:r>
              <w:rPr>
                <w:i/>
                <w:color w:val="auto"/>
                <w:sz w:val="24"/>
                <w:szCs w:val="24"/>
                <w:highlight w:val="none"/>
                <w:vertAlign w:val="subscript"/>
              </w:rPr>
              <w:t>A</w:t>
            </w:r>
            <w:r>
              <w:rPr>
                <w:rFonts w:hint="eastAsia"/>
                <w:color w:val="auto"/>
                <w:sz w:val="24"/>
                <w:szCs w:val="24"/>
                <w:highlight w:val="none"/>
                <w:vertAlign w:val="subscript"/>
              </w:rPr>
              <w:t>（</w:t>
            </w:r>
            <w:r>
              <w:rPr>
                <w:i/>
                <w:color w:val="auto"/>
                <w:sz w:val="24"/>
                <w:szCs w:val="24"/>
                <w:highlight w:val="none"/>
                <w:vertAlign w:val="subscript"/>
              </w:rPr>
              <w:t>r</w:t>
            </w:r>
            <w:r>
              <w:rPr>
                <w:color w:val="auto"/>
                <w:sz w:val="24"/>
                <w:szCs w:val="24"/>
                <w:highlight w:val="none"/>
                <w:vertAlign w:val="subscript"/>
              </w:rPr>
              <w:t>）</w:t>
            </w:r>
            <w:r>
              <w:rPr>
                <w:color w:val="auto"/>
                <w:sz w:val="24"/>
                <w:szCs w:val="24"/>
                <w:highlight w:val="none"/>
              </w:rPr>
              <w:t>——</w:t>
            </w:r>
            <w:r>
              <w:rPr>
                <w:rFonts w:hint="eastAsia"/>
                <w:color w:val="auto"/>
                <w:sz w:val="24"/>
                <w:szCs w:val="24"/>
                <w:highlight w:val="none"/>
              </w:rPr>
              <w:t>距</w:t>
            </w:r>
            <w:r>
              <w:rPr>
                <w:color w:val="auto"/>
                <w:sz w:val="24"/>
                <w:szCs w:val="24"/>
                <w:highlight w:val="none"/>
              </w:rPr>
              <w:t>声源</w:t>
            </w:r>
            <w:r>
              <w:rPr>
                <w:i/>
                <w:color w:val="auto"/>
                <w:sz w:val="24"/>
                <w:szCs w:val="24"/>
                <w:highlight w:val="none"/>
              </w:rPr>
              <w:t>r</w:t>
            </w:r>
            <w:r>
              <w:rPr>
                <w:color w:val="auto"/>
                <w:sz w:val="24"/>
                <w:szCs w:val="24"/>
                <w:highlight w:val="none"/>
              </w:rPr>
              <w:t>米处的</w:t>
            </w:r>
            <w:r>
              <w:rPr>
                <w:rFonts w:hint="eastAsia"/>
                <w:color w:val="auto"/>
                <w:sz w:val="24"/>
                <w:szCs w:val="24"/>
                <w:highlight w:val="none"/>
              </w:rPr>
              <w:t>A</w:t>
            </w:r>
            <w:r>
              <w:rPr>
                <w:color w:val="auto"/>
                <w:sz w:val="24"/>
                <w:szCs w:val="24"/>
                <w:highlight w:val="none"/>
              </w:rPr>
              <w:t>声级</w:t>
            </w:r>
            <w:r>
              <w:rPr>
                <w:rFonts w:hint="eastAsia"/>
                <w:color w:val="auto"/>
                <w:sz w:val="24"/>
                <w:szCs w:val="24"/>
                <w:highlight w:val="none"/>
              </w:rPr>
              <w:t>，</w:t>
            </w:r>
            <w:r>
              <w:rPr>
                <w:color w:val="auto"/>
                <w:sz w:val="24"/>
                <w:szCs w:val="24"/>
                <w:highlight w:val="none"/>
              </w:rPr>
              <w:t>dB（A）；</w:t>
            </w:r>
          </w:p>
          <w:p>
            <w:pPr>
              <w:keepNext w:val="0"/>
              <w:keepLines w:val="0"/>
              <w:pageBreakBefore w:val="0"/>
              <w:wordWrap/>
              <w:topLinePunct w:val="0"/>
              <w:bidi w:val="0"/>
              <w:spacing w:line="360" w:lineRule="auto"/>
              <w:ind w:left="0" w:leftChars="0" w:firstLine="1200" w:firstLineChars="500"/>
              <w:rPr>
                <w:color w:val="auto"/>
                <w:sz w:val="24"/>
                <w:szCs w:val="24"/>
                <w:highlight w:val="none"/>
              </w:rPr>
            </w:pPr>
            <w:r>
              <w:rPr>
                <w:i/>
                <w:color w:val="auto"/>
                <w:sz w:val="24"/>
                <w:szCs w:val="24"/>
                <w:highlight w:val="none"/>
              </w:rPr>
              <w:t>L</w:t>
            </w:r>
            <w:r>
              <w:rPr>
                <w:i/>
                <w:color w:val="auto"/>
                <w:sz w:val="24"/>
                <w:szCs w:val="24"/>
                <w:highlight w:val="none"/>
                <w:vertAlign w:val="subscript"/>
              </w:rPr>
              <w:t>A</w:t>
            </w:r>
            <w:r>
              <w:rPr>
                <w:color w:val="auto"/>
                <w:sz w:val="24"/>
                <w:szCs w:val="24"/>
                <w:highlight w:val="none"/>
                <w:vertAlign w:val="subscript"/>
              </w:rPr>
              <w:t>（</w:t>
            </w:r>
            <w:r>
              <w:rPr>
                <w:i/>
                <w:color w:val="auto"/>
                <w:sz w:val="24"/>
                <w:szCs w:val="24"/>
                <w:highlight w:val="none"/>
                <w:vertAlign w:val="subscript"/>
              </w:rPr>
              <w:t>r0</w:t>
            </w:r>
            <w:r>
              <w:rPr>
                <w:rFonts w:hint="eastAsia"/>
                <w:color w:val="auto"/>
                <w:sz w:val="24"/>
                <w:szCs w:val="24"/>
                <w:highlight w:val="none"/>
                <w:vertAlign w:val="subscript"/>
              </w:rPr>
              <w:t>）</w:t>
            </w:r>
            <w:r>
              <w:rPr>
                <w:color w:val="auto"/>
                <w:sz w:val="24"/>
                <w:szCs w:val="24"/>
                <w:highlight w:val="none"/>
              </w:rPr>
              <w:t>——</w:t>
            </w:r>
            <w:r>
              <w:rPr>
                <w:rFonts w:hint="eastAsia"/>
                <w:color w:val="auto"/>
                <w:sz w:val="24"/>
                <w:szCs w:val="24"/>
                <w:highlight w:val="none"/>
              </w:rPr>
              <w:t>距声源</w:t>
            </w:r>
            <w:r>
              <w:rPr>
                <w:i/>
                <w:color w:val="auto"/>
                <w:sz w:val="24"/>
                <w:szCs w:val="24"/>
                <w:highlight w:val="none"/>
              </w:rPr>
              <w:t>r</w:t>
            </w:r>
            <w:r>
              <w:rPr>
                <w:i/>
                <w:color w:val="auto"/>
                <w:sz w:val="24"/>
                <w:szCs w:val="24"/>
                <w:highlight w:val="none"/>
                <w:vertAlign w:val="subscript"/>
              </w:rPr>
              <w:t>0</w:t>
            </w:r>
            <w:r>
              <w:rPr>
                <w:rFonts w:hint="eastAsia"/>
                <w:color w:val="auto"/>
                <w:sz w:val="24"/>
                <w:szCs w:val="24"/>
                <w:highlight w:val="none"/>
              </w:rPr>
              <w:t>米</w:t>
            </w:r>
            <w:r>
              <w:rPr>
                <w:color w:val="auto"/>
                <w:sz w:val="24"/>
                <w:szCs w:val="24"/>
                <w:highlight w:val="none"/>
              </w:rPr>
              <w:t>处的A声级，dB（A）；</w:t>
            </w:r>
          </w:p>
          <w:p>
            <w:pPr>
              <w:keepNext w:val="0"/>
              <w:keepLines w:val="0"/>
              <w:pageBreakBefore w:val="0"/>
              <w:wordWrap/>
              <w:topLinePunct w:val="0"/>
              <w:bidi w:val="0"/>
              <w:spacing w:line="360" w:lineRule="auto"/>
              <w:ind w:left="0" w:leftChars="0" w:firstLine="1200" w:firstLineChars="500"/>
              <w:rPr>
                <w:color w:val="auto"/>
                <w:sz w:val="24"/>
                <w:szCs w:val="24"/>
                <w:highlight w:val="none"/>
              </w:rPr>
            </w:pPr>
            <w:r>
              <w:rPr>
                <w:i/>
                <w:color w:val="auto"/>
                <w:sz w:val="24"/>
                <w:szCs w:val="24"/>
                <w:highlight w:val="none"/>
              </w:rPr>
              <w:t>r</w:t>
            </w:r>
            <w:r>
              <w:rPr>
                <w:color w:val="auto"/>
                <w:sz w:val="24"/>
                <w:szCs w:val="24"/>
                <w:highlight w:val="none"/>
              </w:rPr>
              <w:t>、</w:t>
            </w:r>
            <w:r>
              <w:rPr>
                <w:i/>
                <w:color w:val="auto"/>
                <w:sz w:val="24"/>
                <w:szCs w:val="24"/>
                <w:highlight w:val="none"/>
              </w:rPr>
              <w:t>r</w:t>
            </w:r>
            <w:r>
              <w:rPr>
                <w:i/>
                <w:color w:val="auto"/>
                <w:sz w:val="24"/>
                <w:szCs w:val="24"/>
                <w:highlight w:val="none"/>
                <w:vertAlign w:val="subscript"/>
              </w:rPr>
              <w:t>0</w:t>
            </w:r>
            <w:r>
              <w:rPr>
                <w:color w:val="auto"/>
                <w:sz w:val="24"/>
                <w:szCs w:val="24"/>
                <w:highlight w:val="none"/>
              </w:rPr>
              <w:t xml:space="preserve"> ——</w:t>
            </w:r>
            <w:r>
              <w:rPr>
                <w:rFonts w:hint="eastAsia"/>
                <w:color w:val="auto"/>
                <w:sz w:val="24"/>
                <w:szCs w:val="24"/>
                <w:highlight w:val="none"/>
              </w:rPr>
              <w:t>距点声源</w:t>
            </w:r>
            <w:r>
              <w:rPr>
                <w:color w:val="auto"/>
                <w:sz w:val="24"/>
                <w:szCs w:val="24"/>
                <w:highlight w:val="none"/>
              </w:rPr>
              <w:t>的距离，m；</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1200" w:firstLineChars="500"/>
              <w:textAlignment w:val="auto"/>
              <w:rPr>
                <w:rFonts w:hint="default" w:ascii="Times New Roman" w:hAnsi="Times New Roman" w:cs="Times New Roman"/>
                <w:color w:val="auto"/>
                <w:sz w:val="24"/>
                <w:szCs w:val="24"/>
                <w:highlight w:val="none"/>
                <w:lang w:val="en-US" w:eastAsia="zh-CN"/>
              </w:rPr>
            </w:pPr>
            <w:r>
              <w:rPr>
                <w:color w:val="auto"/>
                <w:sz w:val="24"/>
                <w:szCs w:val="24"/>
                <w:highlight w:val="none"/>
              </w:rPr>
              <w:t>Δ</w:t>
            </w:r>
            <w:r>
              <w:rPr>
                <w:i/>
                <w:color w:val="auto"/>
                <w:sz w:val="24"/>
                <w:szCs w:val="24"/>
                <w:highlight w:val="none"/>
              </w:rPr>
              <w:t>L</w:t>
            </w:r>
            <w:r>
              <w:rPr>
                <w:color w:val="auto"/>
                <w:sz w:val="24"/>
                <w:szCs w:val="24"/>
                <w:highlight w:val="none"/>
              </w:rPr>
              <w:t>——</w:t>
            </w:r>
            <w:r>
              <w:rPr>
                <w:rFonts w:hint="eastAsia"/>
                <w:color w:val="auto"/>
                <w:sz w:val="24"/>
                <w:szCs w:val="24"/>
                <w:highlight w:val="none"/>
              </w:rPr>
              <w:t>场界</w:t>
            </w:r>
            <w:r>
              <w:rPr>
                <w:color w:val="auto"/>
                <w:sz w:val="24"/>
                <w:szCs w:val="24"/>
                <w:highlight w:val="none"/>
              </w:rPr>
              <w:t>围墙引起的衰减量。</w:t>
            </w:r>
          </w:p>
          <w:p>
            <w:pPr>
              <w:keepNext w:val="0"/>
              <w:keepLines w:val="0"/>
              <w:pageBreakBefore w:val="0"/>
              <w:wordWrap/>
              <w:topLinePunct w:val="0"/>
              <w:bidi w:val="0"/>
              <w:spacing w:line="360" w:lineRule="auto"/>
              <w:ind w:left="0" w:leftChars="0" w:firstLine="480"/>
              <w:rPr>
                <w:color w:val="auto"/>
                <w:sz w:val="24"/>
                <w:szCs w:val="24"/>
                <w:highlight w:val="none"/>
              </w:rPr>
            </w:pPr>
            <w:r>
              <w:rPr>
                <w:rFonts w:hint="eastAsia"/>
                <w:color w:val="auto"/>
                <w:sz w:val="24"/>
                <w:szCs w:val="24"/>
                <w:highlight w:val="none"/>
              </w:rPr>
              <w:t>由上式预测单个点声源在评价点的噪声贡献值，采用噪声</w:t>
            </w:r>
            <w:r>
              <w:rPr>
                <w:color w:val="auto"/>
                <w:sz w:val="24"/>
                <w:szCs w:val="24"/>
                <w:highlight w:val="none"/>
              </w:rPr>
              <w:t>合成</w:t>
            </w:r>
            <w:r>
              <w:rPr>
                <w:rFonts w:hint="eastAsia"/>
                <w:color w:val="auto"/>
                <w:sz w:val="24"/>
                <w:szCs w:val="24"/>
                <w:highlight w:val="none"/>
              </w:rPr>
              <w:t>公式计算各点声源在该处的噪声合成值，计算公式如下：</w:t>
            </w:r>
          </w:p>
          <w:p>
            <w:pPr>
              <w:keepNext w:val="0"/>
              <w:keepLines w:val="0"/>
              <w:pageBreakBefore w:val="0"/>
              <w:wordWrap/>
              <w:topLinePunct w:val="0"/>
              <w:bidi w:val="0"/>
              <w:spacing w:line="360" w:lineRule="auto"/>
              <w:ind w:left="0" w:leftChars="0" w:firstLine="480"/>
              <w:jc w:val="center"/>
              <w:rPr>
                <w:color w:val="auto"/>
                <w:sz w:val="24"/>
                <w:szCs w:val="24"/>
                <w:highlight w:val="none"/>
              </w:rPr>
            </w:pPr>
            <w:r>
              <w:rPr>
                <w:color w:val="auto"/>
                <w:position w:val="-28"/>
                <w:sz w:val="24"/>
                <w:szCs w:val="24"/>
                <w:highlight w:val="none"/>
              </w:rPr>
              <w:object>
                <v:shape id="_x0000_i1033" o:spt="75" type="#_x0000_t75" style="height:28.5pt;width:79.5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p>
          <w:p>
            <w:pPr>
              <w:keepNext w:val="0"/>
              <w:keepLines w:val="0"/>
              <w:pageBreakBefore w:val="0"/>
              <w:wordWrap/>
              <w:topLinePunct w:val="0"/>
              <w:bidi w:val="0"/>
              <w:spacing w:line="360" w:lineRule="auto"/>
              <w:ind w:left="0" w:leftChars="0" w:firstLine="480"/>
              <w:rPr>
                <w:color w:val="auto"/>
                <w:sz w:val="24"/>
                <w:szCs w:val="24"/>
                <w:highlight w:val="none"/>
              </w:rPr>
            </w:pPr>
            <w:r>
              <w:rPr>
                <w:rFonts w:hint="eastAsia"/>
                <w:color w:val="auto"/>
                <w:sz w:val="24"/>
                <w:szCs w:val="24"/>
                <w:highlight w:val="none"/>
              </w:rPr>
              <w:t>式中</w:t>
            </w:r>
            <w:r>
              <w:rPr>
                <w:color w:val="auto"/>
                <w:sz w:val="24"/>
                <w:szCs w:val="24"/>
                <w:highlight w:val="none"/>
              </w:rPr>
              <w:t>，</w:t>
            </w:r>
            <w:r>
              <w:rPr>
                <w:rFonts w:hint="eastAsia"/>
                <w:i/>
                <w:color w:val="auto"/>
                <w:sz w:val="24"/>
                <w:szCs w:val="24"/>
                <w:highlight w:val="none"/>
              </w:rPr>
              <w:t>L</w:t>
            </w:r>
            <w:r>
              <w:rPr>
                <w:color w:val="auto"/>
                <w:sz w:val="24"/>
                <w:szCs w:val="24"/>
                <w:highlight w:val="none"/>
              </w:rPr>
              <w:t>——</w:t>
            </w:r>
            <w:r>
              <w:rPr>
                <w:rFonts w:hint="eastAsia"/>
                <w:color w:val="auto"/>
                <w:sz w:val="24"/>
                <w:szCs w:val="24"/>
                <w:highlight w:val="none"/>
              </w:rPr>
              <w:t>为</w:t>
            </w:r>
            <w:r>
              <w:rPr>
                <w:color w:val="auto"/>
                <w:sz w:val="24"/>
                <w:szCs w:val="24"/>
                <w:highlight w:val="none"/>
              </w:rPr>
              <w:t>叠加后总</w:t>
            </w:r>
            <w:r>
              <w:rPr>
                <w:rFonts w:hint="eastAsia"/>
                <w:color w:val="auto"/>
                <w:sz w:val="24"/>
                <w:szCs w:val="24"/>
                <w:highlight w:val="none"/>
              </w:rPr>
              <w:t>的</w:t>
            </w:r>
            <w:r>
              <w:rPr>
                <w:color w:val="auto"/>
                <w:sz w:val="24"/>
                <w:szCs w:val="24"/>
                <w:highlight w:val="none"/>
              </w:rPr>
              <w:t>声压级，</w:t>
            </w:r>
            <w:r>
              <w:rPr>
                <w:rFonts w:hint="eastAsia"/>
                <w:color w:val="auto"/>
                <w:sz w:val="24"/>
                <w:szCs w:val="24"/>
                <w:highlight w:val="none"/>
              </w:rPr>
              <w:t>dB</w:t>
            </w:r>
            <w:r>
              <w:rPr>
                <w:color w:val="auto"/>
                <w:sz w:val="24"/>
                <w:szCs w:val="24"/>
                <w:highlight w:val="none"/>
              </w:rPr>
              <w:t>（A）；</w:t>
            </w:r>
          </w:p>
          <w:p>
            <w:pPr>
              <w:keepNext w:val="0"/>
              <w:keepLines w:val="0"/>
              <w:pageBreakBefore w:val="0"/>
              <w:wordWrap/>
              <w:topLinePunct w:val="0"/>
              <w:bidi w:val="0"/>
              <w:spacing w:line="360" w:lineRule="auto"/>
              <w:ind w:left="0" w:leftChars="0" w:firstLine="1200" w:firstLineChars="500"/>
              <w:rPr>
                <w:color w:val="auto"/>
                <w:sz w:val="24"/>
                <w:szCs w:val="24"/>
                <w:highlight w:val="none"/>
              </w:rPr>
            </w:pPr>
            <w:r>
              <w:rPr>
                <w:i/>
                <w:color w:val="auto"/>
                <w:sz w:val="24"/>
                <w:szCs w:val="24"/>
                <w:highlight w:val="none"/>
              </w:rPr>
              <w:t>L</w:t>
            </w:r>
            <w:r>
              <w:rPr>
                <w:i/>
                <w:color w:val="auto"/>
                <w:sz w:val="24"/>
                <w:szCs w:val="24"/>
                <w:highlight w:val="none"/>
                <w:vertAlign w:val="subscript"/>
              </w:rPr>
              <w:t>i</w:t>
            </w:r>
            <w:r>
              <w:rPr>
                <w:color w:val="auto"/>
                <w:sz w:val="24"/>
                <w:szCs w:val="24"/>
                <w:highlight w:val="none"/>
              </w:rPr>
              <w:t>——</w:t>
            </w:r>
            <w:r>
              <w:rPr>
                <w:rFonts w:hint="eastAsia"/>
                <w:color w:val="auto"/>
                <w:sz w:val="24"/>
                <w:szCs w:val="24"/>
                <w:highlight w:val="none"/>
              </w:rPr>
              <w:t>各</w:t>
            </w:r>
            <w:r>
              <w:rPr>
                <w:color w:val="auto"/>
                <w:sz w:val="24"/>
                <w:szCs w:val="24"/>
                <w:highlight w:val="none"/>
              </w:rPr>
              <w:t>点声源的声压级，dB（A）；</w:t>
            </w:r>
          </w:p>
          <w:p>
            <w:pPr>
              <w:keepNext w:val="0"/>
              <w:keepLines w:val="0"/>
              <w:pageBreakBefore w:val="0"/>
              <w:wordWrap/>
              <w:topLinePunct w:val="0"/>
              <w:bidi w:val="0"/>
              <w:spacing w:line="360" w:lineRule="auto"/>
              <w:ind w:left="0" w:leftChars="0" w:firstLine="1200" w:firstLineChars="500"/>
              <w:rPr>
                <w:color w:val="auto"/>
                <w:sz w:val="24"/>
                <w:szCs w:val="24"/>
                <w:highlight w:val="none"/>
              </w:rPr>
            </w:pPr>
            <w:r>
              <w:rPr>
                <w:i/>
                <w:color w:val="auto"/>
                <w:sz w:val="24"/>
                <w:szCs w:val="24"/>
                <w:highlight w:val="none"/>
              </w:rPr>
              <w:t>n</w:t>
            </w:r>
            <w:r>
              <w:rPr>
                <w:color w:val="auto"/>
                <w:sz w:val="24"/>
                <w:szCs w:val="24"/>
                <w:highlight w:val="none"/>
              </w:rPr>
              <w:t>——</w:t>
            </w:r>
            <w:r>
              <w:rPr>
                <w:rFonts w:hint="eastAsia"/>
                <w:color w:val="auto"/>
                <w:sz w:val="24"/>
                <w:szCs w:val="24"/>
                <w:highlight w:val="none"/>
              </w:rPr>
              <w:t>点声源</w:t>
            </w:r>
            <w:r>
              <w:rPr>
                <w:color w:val="auto"/>
                <w:sz w:val="24"/>
                <w:szCs w:val="24"/>
                <w:highlight w:val="none"/>
              </w:rPr>
              <w:t>个数。</w:t>
            </w:r>
          </w:p>
          <w:p>
            <w:pPr>
              <w:keepNext w:val="0"/>
              <w:keepLines w:val="0"/>
              <w:pageBreakBefore w:val="0"/>
              <w:wordWrap/>
              <w:topLinePunct w:val="0"/>
              <w:bidi w:val="0"/>
              <w:spacing w:line="360" w:lineRule="auto"/>
              <w:ind w:left="0" w:leftChars="0" w:firstLine="480" w:firstLineChars="200"/>
              <w:rPr>
                <w:color w:val="auto"/>
                <w:sz w:val="24"/>
                <w:szCs w:val="24"/>
                <w:highlight w:val="none"/>
              </w:rPr>
            </w:pPr>
            <w:r>
              <w:rPr>
                <w:rFonts w:hint="eastAsia"/>
                <w:color w:val="auto"/>
                <w:sz w:val="24"/>
                <w:szCs w:val="24"/>
                <w:highlight w:val="none"/>
                <w:lang w:val="en-US" w:eastAsia="zh-CN"/>
              </w:rPr>
              <w:t>根据业主提供资料，项目工作时间为24h/d，三班倒。</w:t>
            </w:r>
            <w:r>
              <w:rPr>
                <w:rFonts w:hint="eastAsia"/>
                <w:color w:val="auto"/>
                <w:sz w:val="24"/>
                <w:szCs w:val="24"/>
                <w:highlight w:val="none"/>
              </w:rPr>
              <w:t>本</w:t>
            </w:r>
            <w:r>
              <w:rPr>
                <w:rFonts w:hint="eastAsia"/>
                <w:color w:val="auto"/>
                <w:sz w:val="24"/>
                <w:szCs w:val="24"/>
                <w:highlight w:val="none"/>
                <w:lang w:val="en-US" w:eastAsia="zh-CN"/>
              </w:rPr>
              <w:t>项目为新建综合医院，因此本</w:t>
            </w:r>
            <w:r>
              <w:rPr>
                <w:rFonts w:hint="eastAsia"/>
                <w:color w:val="auto"/>
                <w:sz w:val="24"/>
                <w:szCs w:val="24"/>
                <w:highlight w:val="none"/>
              </w:rPr>
              <w:t>次环评厂界以贡献值作为评价量，按照上述模型计算</w:t>
            </w:r>
            <w:r>
              <w:rPr>
                <w:rFonts w:hint="eastAsia"/>
                <w:color w:val="auto"/>
                <w:sz w:val="24"/>
                <w:szCs w:val="24"/>
                <w:highlight w:val="none"/>
                <w:lang w:eastAsia="zh-CN"/>
              </w:rPr>
              <w:t>营运期</w:t>
            </w:r>
            <w:r>
              <w:rPr>
                <w:rFonts w:hint="eastAsia"/>
                <w:color w:val="auto"/>
                <w:sz w:val="24"/>
                <w:szCs w:val="24"/>
                <w:highlight w:val="none"/>
              </w:rPr>
              <w:t>噪声影响预测结果见表</w:t>
            </w:r>
            <w:r>
              <w:rPr>
                <w:color w:val="auto"/>
                <w:sz w:val="24"/>
                <w:szCs w:val="24"/>
                <w:highlight w:val="none"/>
              </w:rPr>
              <w:t>4-</w:t>
            </w:r>
            <w:r>
              <w:rPr>
                <w:rFonts w:hint="eastAsia"/>
                <w:color w:val="auto"/>
                <w:sz w:val="24"/>
                <w:szCs w:val="24"/>
                <w:highlight w:val="none"/>
                <w:lang w:val="en-US" w:eastAsia="zh-CN"/>
              </w:rPr>
              <w:t>10</w:t>
            </w:r>
            <w:r>
              <w:rPr>
                <w:rFonts w:hint="eastAsia"/>
                <w:color w:val="auto"/>
                <w:sz w:val="24"/>
                <w:szCs w:val="24"/>
                <w:highlight w:val="none"/>
              </w:rPr>
              <w:t>。</w:t>
            </w:r>
          </w:p>
          <w:p>
            <w:pPr>
              <w:keepNext w:val="0"/>
              <w:keepLines w:val="0"/>
              <w:pageBreakBefore w:val="0"/>
              <w:wordWrap/>
              <w:topLinePunct w:val="0"/>
              <w:bidi w:val="0"/>
              <w:spacing w:line="360" w:lineRule="auto"/>
              <w:ind w:left="0" w:leftChars="0" w:firstLine="480"/>
              <w:jc w:val="center"/>
              <w:rPr>
                <w:rFonts w:hint="default" w:ascii="Times New Roman" w:hAnsi="Times New Roman" w:cs="Times New Roman"/>
                <w:color w:val="auto"/>
                <w:sz w:val="21"/>
                <w:szCs w:val="21"/>
                <w:highlight w:val="none"/>
              </w:rPr>
            </w:pPr>
            <w:r>
              <w:rPr>
                <w:rFonts w:hint="default" w:ascii="Times New Roman" w:hAnsi="Times New Roman" w:eastAsia="黑体" w:cs="Times New Roman"/>
                <w:color w:val="auto"/>
                <w:szCs w:val="21"/>
                <w:highlight w:val="none"/>
              </w:rPr>
              <w:t>表4</w:t>
            </w:r>
            <w:r>
              <w:rPr>
                <w:rFonts w:hint="eastAsia"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10</w:t>
            </w:r>
            <w:r>
              <w:rPr>
                <w:rFonts w:hint="default" w:ascii="Times New Roman" w:hAnsi="Times New Roman" w:eastAsia="黑体" w:cs="Times New Roman"/>
                <w:color w:val="auto"/>
                <w:szCs w:val="21"/>
                <w:highlight w:val="none"/>
              </w:rPr>
              <w:t xml:space="preserve">  </w:t>
            </w:r>
            <w:r>
              <w:rPr>
                <w:rFonts w:hint="eastAsia" w:ascii="Times New Roman" w:hAnsi="Times New Roman" w:eastAsia="黑体" w:cs="Times New Roman"/>
                <w:color w:val="auto"/>
                <w:szCs w:val="21"/>
                <w:highlight w:val="none"/>
              </w:rPr>
              <w:t>运营期</w:t>
            </w:r>
            <w:r>
              <w:rPr>
                <w:rFonts w:hint="default" w:ascii="Times New Roman" w:hAnsi="Times New Roman" w:eastAsia="黑体" w:cs="Times New Roman"/>
                <w:color w:val="auto"/>
                <w:szCs w:val="21"/>
                <w:highlight w:val="none"/>
              </w:rPr>
              <w:t>噪声预测结果</w:t>
            </w:r>
            <w:r>
              <w:rPr>
                <w:rFonts w:hint="eastAsia" w:eastAsia="黑体" w:cs="Times New Roman"/>
                <w:color w:val="auto"/>
                <w:szCs w:val="21"/>
                <w:highlight w:val="none"/>
                <w:lang w:val="en-US" w:eastAsia="zh-CN"/>
              </w:rPr>
              <w:t xml:space="preserve">  </w:t>
            </w:r>
            <w:r>
              <w:rPr>
                <w:rFonts w:hint="eastAsia" w:eastAsia="黑体" w:cs="Times New Roman"/>
                <w:b w:val="0"/>
                <w:bCs w:val="0"/>
                <w:color w:val="auto"/>
                <w:sz w:val="21"/>
                <w:szCs w:val="21"/>
                <w:highlight w:val="none"/>
                <w:lang w:val="en-US" w:eastAsia="zh-CN"/>
              </w:rPr>
              <w:t>单位：</w:t>
            </w:r>
            <w:r>
              <w:rPr>
                <w:rFonts w:hint="default" w:ascii="Times New Roman" w:hAnsi="Times New Roman" w:cs="Times New Roman"/>
                <w:color w:val="auto"/>
                <w:sz w:val="21"/>
                <w:szCs w:val="21"/>
                <w:highlight w:val="none"/>
              </w:rPr>
              <w:t>dB（A）</w:t>
            </w:r>
          </w:p>
          <w:tbl>
            <w:tblPr>
              <w:tblStyle w:val="21"/>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816"/>
              <w:gridCol w:w="1816"/>
              <w:gridCol w:w="1816"/>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Borders>
                    <w:tl2br w:val="single" w:color="auto" w:sz="4" w:space="0"/>
                  </w:tcBorders>
                  <w:vAlign w:val="center"/>
                </w:tcPr>
                <w:p>
                  <w:pPr>
                    <w:keepNext w:val="0"/>
                    <w:keepLines w:val="0"/>
                    <w:pageBreakBefore w:val="0"/>
                    <w:wordWrap/>
                    <w:topLinePunct w:val="0"/>
                    <w:bidi w:val="0"/>
                    <w:spacing w:line="240" w:lineRule="auto"/>
                    <w:ind w:left="0" w:leftChars="0"/>
                    <w:jc w:val="right"/>
                    <w:rPr>
                      <w:rFonts w:hint="eastAsia" w:cs="Times New Roman"/>
                      <w:b/>
                      <w:bCs/>
                      <w:color w:val="auto"/>
                      <w:szCs w:val="21"/>
                      <w:highlight w:val="none"/>
                      <w:lang w:val="en-US" w:eastAsia="zh-CN"/>
                    </w:rPr>
                  </w:pPr>
                  <w:r>
                    <w:rPr>
                      <w:rFonts w:hint="eastAsia" w:cs="Times New Roman"/>
                      <w:b/>
                      <w:bCs/>
                      <w:color w:val="auto"/>
                      <w:szCs w:val="21"/>
                      <w:highlight w:val="none"/>
                      <w:lang w:val="en-US" w:eastAsia="zh-CN"/>
                    </w:rPr>
                    <w:t>预测点</w:t>
                  </w:r>
                </w:p>
                <w:p>
                  <w:pPr>
                    <w:keepNext w:val="0"/>
                    <w:keepLines w:val="0"/>
                    <w:pageBreakBefore w:val="0"/>
                    <w:wordWrap/>
                    <w:topLinePunct w:val="0"/>
                    <w:bidi w:val="0"/>
                    <w:spacing w:line="240" w:lineRule="auto"/>
                    <w:ind w:left="0" w:leftChars="0"/>
                    <w:jc w:val="left"/>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贡献值</w:t>
                  </w:r>
                </w:p>
              </w:tc>
              <w:tc>
                <w:tcPr>
                  <w:tcW w:w="1816" w:type="dxa"/>
                  <w:vAlign w:val="center"/>
                </w:tcPr>
                <w:p>
                  <w:pPr>
                    <w:keepNext w:val="0"/>
                    <w:keepLines w:val="0"/>
                    <w:pageBreakBefore w:val="0"/>
                    <w:wordWrap/>
                    <w:topLinePunct w:val="0"/>
                    <w:bidi w:val="0"/>
                    <w:spacing w:line="240" w:lineRule="auto"/>
                    <w:ind w:left="0" w:leftChars="0"/>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东厂界</w:t>
                  </w:r>
                </w:p>
              </w:tc>
              <w:tc>
                <w:tcPr>
                  <w:tcW w:w="1816" w:type="dxa"/>
                  <w:vAlign w:val="center"/>
                </w:tcPr>
                <w:p>
                  <w:pPr>
                    <w:keepNext w:val="0"/>
                    <w:keepLines w:val="0"/>
                    <w:pageBreakBefore w:val="0"/>
                    <w:wordWrap/>
                    <w:topLinePunct w:val="0"/>
                    <w:bidi w:val="0"/>
                    <w:spacing w:line="240" w:lineRule="auto"/>
                    <w:ind w:left="0" w:leftChars="0"/>
                    <w:jc w:val="center"/>
                    <w:rPr>
                      <w:rFonts w:hint="eastAsia" w:cs="Times New Roman"/>
                      <w:b/>
                      <w:bCs/>
                      <w:color w:val="auto"/>
                      <w:szCs w:val="21"/>
                      <w:highlight w:val="none"/>
                      <w:lang w:val="en-US" w:eastAsia="zh-CN"/>
                    </w:rPr>
                  </w:pPr>
                  <w:r>
                    <w:rPr>
                      <w:rFonts w:hint="eastAsia" w:cs="Times New Roman"/>
                      <w:b/>
                      <w:bCs/>
                      <w:color w:val="auto"/>
                      <w:szCs w:val="21"/>
                      <w:highlight w:val="none"/>
                      <w:lang w:val="en-US" w:eastAsia="zh-CN"/>
                    </w:rPr>
                    <w:t>北厂界</w:t>
                  </w:r>
                </w:p>
              </w:tc>
              <w:tc>
                <w:tcPr>
                  <w:tcW w:w="1816" w:type="dxa"/>
                  <w:vAlign w:val="center"/>
                </w:tcPr>
                <w:p>
                  <w:pPr>
                    <w:keepNext w:val="0"/>
                    <w:keepLines w:val="0"/>
                    <w:pageBreakBefore w:val="0"/>
                    <w:wordWrap/>
                    <w:topLinePunct w:val="0"/>
                    <w:bidi w:val="0"/>
                    <w:spacing w:line="240" w:lineRule="auto"/>
                    <w:ind w:left="0" w:leftChars="0"/>
                    <w:jc w:val="center"/>
                    <w:rPr>
                      <w:rFonts w:hint="eastAsia" w:cs="Times New Roman"/>
                      <w:b/>
                      <w:bCs/>
                      <w:color w:val="auto"/>
                      <w:szCs w:val="21"/>
                      <w:highlight w:val="none"/>
                      <w:lang w:val="en-US" w:eastAsia="zh-CN"/>
                    </w:rPr>
                  </w:pPr>
                  <w:r>
                    <w:rPr>
                      <w:rFonts w:hint="eastAsia" w:cs="Times New Roman"/>
                      <w:b/>
                      <w:bCs/>
                      <w:color w:val="auto"/>
                      <w:szCs w:val="21"/>
                      <w:highlight w:val="none"/>
                      <w:lang w:val="en-US" w:eastAsia="zh-CN"/>
                    </w:rPr>
                    <w:t>南厂界</w:t>
                  </w:r>
                </w:p>
              </w:tc>
              <w:tc>
                <w:tcPr>
                  <w:tcW w:w="1816" w:type="dxa"/>
                  <w:vAlign w:val="center"/>
                </w:tcPr>
                <w:p>
                  <w:pPr>
                    <w:keepNext w:val="0"/>
                    <w:keepLines w:val="0"/>
                    <w:pageBreakBefore w:val="0"/>
                    <w:wordWrap/>
                    <w:topLinePunct w:val="0"/>
                    <w:bidi w:val="0"/>
                    <w:spacing w:line="240" w:lineRule="auto"/>
                    <w:ind w:left="0" w:leftChars="0"/>
                    <w:jc w:val="center"/>
                    <w:rPr>
                      <w:rFonts w:hint="eastAsia" w:cs="Times New Roman"/>
                      <w:b/>
                      <w:bCs/>
                      <w:color w:val="auto"/>
                      <w:szCs w:val="21"/>
                      <w:highlight w:val="none"/>
                      <w:lang w:val="en-US" w:eastAsia="zh-CN"/>
                    </w:rPr>
                  </w:pPr>
                  <w:r>
                    <w:rPr>
                      <w:rFonts w:hint="eastAsia" w:cs="Times New Roman"/>
                      <w:b/>
                      <w:bCs/>
                      <w:color w:val="auto"/>
                      <w:szCs w:val="21"/>
                      <w:highlight w:val="none"/>
                      <w:lang w:val="en-US" w:eastAsia="zh-CN"/>
                    </w:rPr>
                    <w:t>西厂界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昼间</w:t>
                  </w:r>
                </w:p>
              </w:tc>
              <w:tc>
                <w:tcPr>
                  <w:tcW w:w="1816" w:type="dxa"/>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47.6</w:t>
                  </w:r>
                </w:p>
              </w:tc>
              <w:tc>
                <w:tcPr>
                  <w:tcW w:w="1816" w:type="dxa"/>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47.4</w:t>
                  </w:r>
                </w:p>
              </w:tc>
              <w:tc>
                <w:tcPr>
                  <w:tcW w:w="1816" w:type="dxa"/>
                  <w:vAlign w:val="center"/>
                </w:tcPr>
                <w:p>
                  <w:pPr>
                    <w:keepNext w:val="0"/>
                    <w:keepLines w:val="0"/>
                    <w:pageBreakBefore w:val="0"/>
                    <w:wordWrap/>
                    <w:topLinePunct w:val="0"/>
                    <w:bidi w:val="0"/>
                    <w:spacing w:line="240" w:lineRule="auto"/>
                    <w:ind w:left="0" w:left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38.3</w:t>
                  </w:r>
                </w:p>
              </w:tc>
              <w:tc>
                <w:tcPr>
                  <w:tcW w:w="1816" w:type="dxa"/>
                  <w:vAlign w:val="center"/>
                </w:tcPr>
                <w:p>
                  <w:pPr>
                    <w:keepNext w:val="0"/>
                    <w:keepLines w:val="0"/>
                    <w:pageBreakBefore w:val="0"/>
                    <w:wordWrap/>
                    <w:topLinePunct w:val="0"/>
                    <w:bidi w:val="0"/>
                    <w:spacing w:line="240" w:lineRule="auto"/>
                    <w:ind w:left="0" w:left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夜间</w:t>
                  </w:r>
                </w:p>
              </w:tc>
              <w:tc>
                <w:tcPr>
                  <w:tcW w:w="1816" w:type="dxa"/>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47.6</w:t>
                  </w:r>
                </w:p>
              </w:tc>
              <w:tc>
                <w:tcPr>
                  <w:tcW w:w="1816" w:type="dxa"/>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47.4</w:t>
                  </w:r>
                </w:p>
              </w:tc>
              <w:tc>
                <w:tcPr>
                  <w:tcW w:w="1816" w:type="dxa"/>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38.3</w:t>
                  </w:r>
                </w:p>
              </w:tc>
              <w:tc>
                <w:tcPr>
                  <w:tcW w:w="1816" w:type="dxa"/>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80" w:type="dxa"/>
                  <w:gridSpan w:val="5"/>
                  <w:vAlign w:val="center"/>
                </w:tcPr>
                <w:p>
                  <w:pPr>
                    <w:keepNext w:val="0"/>
                    <w:keepLines w:val="0"/>
                    <w:pageBreakBefore w:val="0"/>
                    <w:wordWrap/>
                    <w:topLinePunct w:val="0"/>
                    <w:bidi w:val="0"/>
                    <w:spacing w:line="240" w:lineRule="auto"/>
                    <w:ind w:left="0" w:leftChars="0"/>
                    <w:jc w:val="both"/>
                    <w:rPr>
                      <w:rFonts w:hint="default" w:cs="Times New Roman"/>
                      <w:color w:val="auto"/>
                      <w:szCs w:val="21"/>
                      <w:highlight w:val="none"/>
                      <w:lang w:val="en-US" w:eastAsia="zh-CN"/>
                    </w:rPr>
                  </w:pPr>
                  <w:r>
                    <w:rPr>
                      <w:rFonts w:hint="eastAsia" w:cs="Times New Roman"/>
                      <w:b/>
                      <w:bCs/>
                      <w:color w:val="auto"/>
                      <w:szCs w:val="21"/>
                      <w:highlight w:val="none"/>
                      <w:lang w:val="en-US" w:eastAsia="zh-CN"/>
                    </w:rPr>
                    <w:t>评价范围：昼间≤60，夜间≤50。</w:t>
                  </w:r>
                </w:p>
              </w:tc>
            </w:tr>
          </w:tbl>
          <w:p>
            <w:pPr>
              <w:keepNext w:val="0"/>
              <w:keepLines w:val="0"/>
              <w:pageBreakBefore w:val="0"/>
              <w:wordWrap/>
              <w:topLinePunct w:val="0"/>
              <w:bidi w:val="0"/>
              <w:spacing w:line="360" w:lineRule="auto"/>
              <w:ind w:left="0" w:leftChars="0"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本项目噪声对敏感点影响预测结果见表4-11。</w:t>
            </w:r>
          </w:p>
          <w:p>
            <w:pPr>
              <w:keepNext w:val="0"/>
              <w:keepLines w:val="0"/>
              <w:pageBreakBefore w:val="0"/>
              <w:wordWrap/>
              <w:topLinePunct w:val="0"/>
              <w:bidi w:val="0"/>
              <w:spacing w:line="360" w:lineRule="auto"/>
              <w:jc w:val="center"/>
              <w:rPr>
                <w:rFonts w:hint="eastAsia"/>
                <w:color w:val="auto"/>
                <w:sz w:val="24"/>
                <w:szCs w:val="24"/>
                <w:highlight w:val="none"/>
                <w:lang w:val="en-US" w:eastAsia="zh-CN"/>
              </w:rPr>
            </w:pPr>
            <w:r>
              <w:rPr>
                <w:rFonts w:hint="default" w:ascii="Times New Roman" w:hAnsi="Times New Roman" w:eastAsia="黑体" w:cs="Times New Roman"/>
                <w:color w:val="auto"/>
                <w:szCs w:val="21"/>
                <w:highlight w:val="none"/>
              </w:rPr>
              <w:t>表4</w:t>
            </w:r>
            <w:r>
              <w:rPr>
                <w:rFonts w:hint="eastAsia"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1</w:t>
            </w:r>
            <w:r>
              <w:rPr>
                <w:rFonts w:hint="eastAsia" w:eastAsia="黑体" w:cs="Times New Roman"/>
                <w:color w:val="auto"/>
                <w:szCs w:val="21"/>
                <w:highlight w:val="none"/>
                <w:lang w:val="en-US" w:eastAsia="zh-CN"/>
              </w:rPr>
              <w:t>1</w:t>
            </w:r>
            <w:r>
              <w:rPr>
                <w:rFonts w:hint="default" w:ascii="Times New Roman" w:hAnsi="Times New Roman" w:eastAsia="黑体" w:cs="Times New Roman"/>
                <w:color w:val="auto"/>
                <w:szCs w:val="21"/>
                <w:highlight w:val="none"/>
              </w:rPr>
              <w:t xml:space="preserve">  </w:t>
            </w:r>
            <w:r>
              <w:rPr>
                <w:rFonts w:hint="eastAsia" w:eastAsia="黑体" w:cs="Times New Roman"/>
                <w:color w:val="auto"/>
                <w:szCs w:val="21"/>
                <w:highlight w:val="none"/>
                <w:lang w:val="en-US" w:eastAsia="zh-CN"/>
              </w:rPr>
              <w:t>敏感点</w:t>
            </w:r>
            <w:r>
              <w:rPr>
                <w:rFonts w:hint="default" w:ascii="Times New Roman" w:hAnsi="Times New Roman" w:eastAsia="黑体" w:cs="Times New Roman"/>
                <w:color w:val="auto"/>
                <w:szCs w:val="21"/>
                <w:highlight w:val="none"/>
              </w:rPr>
              <w:t>噪声预测结果</w:t>
            </w:r>
            <w:r>
              <w:rPr>
                <w:rFonts w:hint="eastAsia" w:eastAsia="黑体" w:cs="Times New Roman"/>
                <w:color w:val="auto"/>
                <w:szCs w:val="21"/>
                <w:highlight w:val="none"/>
                <w:lang w:val="en-US" w:eastAsia="zh-CN"/>
              </w:rPr>
              <w:t xml:space="preserve">  </w:t>
            </w:r>
            <w:r>
              <w:rPr>
                <w:rFonts w:hint="eastAsia" w:eastAsia="黑体" w:cs="Times New Roman"/>
                <w:b w:val="0"/>
                <w:bCs w:val="0"/>
                <w:color w:val="auto"/>
                <w:sz w:val="21"/>
                <w:szCs w:val="21"/>
                <w:highlight w:val="none"/>
                <w:lang w:val="en-US" w:eastAsia="zh-CN"/>
              </w:rPr>
              <w:t>单位：</w:t>
            </w:r>
            <w:r>
              <w:rPr>
                <w:rFonts w:hint="default" w:ascii="Times New Roman" w:hAnsi="Times New Roman" w:cs="Times New Roman"/>
                <w:color w:val="auto"/>
                <w:sz w:val="21"/>
                <w:szCs w:val="21"/>
                <w:highlight w:val="none"/>
              </w:rPr>
              <w:t>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915"/>
              <w:gridCol w:w="831"/>
              <w:gridCol w:w="831"/>
              <w:gridCol w:w="831"/>
              <w:gridCol w:w="831"/>
              <w:gridCol w:w="831"/>
              <w:gridCol w:w="831"/>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04" w:type="pct"/>
                  <w:vMerge w:val="restar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类别</w:t>
                  </w:r>
                </w:p>
              </w:tc>
              <w:tc>
                <w:tcPr>
                  <w:tcW w:w="504" w:type="pct"/>
                  <w:vMerge w:val="restar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预测点</w:t>
                  </w:r>
                </w:p>
              </w:tc>
              <w:tc>
                <w:tcPr>
                  <w:tcW w:w="916" w:type="pct"/>
                  <w:gridSpan w:val="2"/>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贡献值</w:t>
                  </w:r>
                </w:p>
              </w:tc>
              <w:tc>
                <w:tcPr>
                  <w:tcW w:w="916" w:type="pct"/>
                  <w:gridSpan w:val="2"/>
                  <w:noWrap w:val="0"/>
                  <w:vAlign w:val="top"/>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现状值</w:t>
                  </w:r>
                </w:p>
              </w:tc>
              <w:tc>
                <w:tcPr>
                  <w:tcW w:w="916" w:type="pct"/>
                  <w:gridSpan w:val="2"/>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预测值</w:t>
                  </w:r>
                </w:p>
              </w:tc>
              <w:tc>
                <w:tcPr>
                  <w:tcW w:w="84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04" w:type="pct"/>
                  <w:vMerge w:val="continue"/>
                  <w:noWrap w:val="0"/>
                  <w:vAlign w:val="center"/>
                </w:tcPr>
                <w:p>
                  <w:pPr>
                    <w:keepNext w:val="0"/>
                    <w:keepLines w:val="0"/>
                    <w:pageBreakBefore w:val="0"/>
                    <w:wordWrap/>
                    <w:topLinePunct w:val="0"/>
                    <w:bidi w:val="0"/>
                    <w:spacing w:line="240" w:lineRule="auto"/>
                    <w:ind w:left="0" w:leftChars="0"/>
                    <w:jc w:val="center"/>
                    <w:rPr>
                      <w:rFonts w:hint="eastAsia" w:cs="Times New Roman"/>
                      <w:b/>
                      <w:bCs/>
                      <w:color w:val="auto"/>
                      <w:szCs w:val="21"/>
                      <w:highlight w:val="none"/>
                      <w:lang w:val="en-US" w:eastAsia="zh-CN"/>
                    </w:rPr>
                  </w:pPr>
                </w:p>
              </w:tc>
              <w:tc>
                <w:tcPr>
                  <w:tcW w:w="504" w:type="pct"/>
                  <w:vMerge w:val="continue"/>
                  <w:noWrap w:val="0"/>
                  <w:vAlign w:val="center"/>
                </w:tcPr>
                <w:p>
                  <w:pPr>
                    <w:keepNext w:val="0"/>
                    <w:keepLines w:val="0"/>
                    <w:pageBreakBefore w:val="0"/>
                    <w:wordWrap/>
                    <w:topLinePunct w:val="0"/>
                    <w:bidi w:val="0"/>
                    <w:spacing w:line="240" w:lineRule="auto"/>
                    <w:ind w:left="0" w:leftChars="0"/>
                    <w:jc w:val="center"/>
                    <w:rPr>
                      <w:rFonts w:hint="eastAsia" w:cs="Times New Roman"/>
                      <w:b/>
                      <w:bCs/>
                      <w:color w:val="auto"/>
                      <w:szCs w:val="21"/>
                      <w:highlight w:val="none"/>
                      <w:lang w:val="en-US" w:eastAsia="zh-CN"/>
                    </w:rPr>
                  </w:pP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昼间</w:t>
                  </w:r>
                </w:p>
              </w:tc>
              <w:tc>
                <w:tcPr>
                  <w:tcW w:w="458" w:type="pct"/>
                  <w:noWrap w:val="0"/>
                  <w:vAlign w:val="top"/>
                </w:tcPr>
                <w:p>
                  <w:pPr>
                    <w:keepNext w:val="0"/>
                    <w:keepLines w:val="0"/>
                    <w:pageBreakBefore w:val="0"/>
                    <w:wordWrap/>
                    <w:topLinePunct w:val="0"/>
                    <w:bidi w:val="0"/>
                    <w:spacing w:line="240" w:lineRule="auto"/>
                    <w:ind w:left="0" w:leftChars="0"/>
                    <w:jc w:val="center"/>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夜间</w:t>
                  </w: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昼间</w:t>
                  </w:r>
                </w:p>
              </w:tc>
              <w:tc>
                <w:tcPr>
                  <w:tcW w:w="458" w:type="pct"/>
                  <w:noWrap w:val="0"/>
                  <w:vAlign w:val="top"/>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夜间</w:t>
                  </w: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昼间</w:t>
                  </w:r>
                </w:p>
              </w:tc>
              <w:tc>
                <w:tcPr>
                  <w:tcW w:w="458" w:type="pct"/>
                  <w:noWrap w:val="0"/>
                  <w:vAlign w:val="top"/>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夜间</w:t>
                  </w:r>
                </w:p>
              </w:tc>
              <w:tc>
                <w:tcPr>
                  <w:tcW w:w="842"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昼间≤60</w:t>
                  </w:r>
                </w:p>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04"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敏感点</w:t>
                  </w:r>
                </w:p>
              </w:tc>
              <w:tc>
                <w:tcPr>
                  <w:tcW w:w="504"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商住户</w:t>
                  </w: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42.4</w:t>
                  </w: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42.4</w:t>
                  </w: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56.0</w:t>
                  </w: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44.0</w:t>
                  </w:r>
                </w:p>
              </w:tc>
              <w:tc>
                <w:tcPr>
                  <w:tcW w:w="45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w:t>
                  </w:r>
                  <w:r>
                    <w:rPr>
                      <w:rFonts w:hint="eastAsia" w:cs="Times New Roman"/>
                      <w:color w:val="auto"/>
                      <w:kern w:val="2"/>
                      <w:sz w:val="21"/>
                      <w:szCs w:val="21"/>
                      <w:highlight w:val="none"/>
                      <w:lang w:val="en-US" w:eastAsia="zh-CN" w:bidi="ar-SA"/>
                    </w:rPr>
                    <w:t>2</w:t>
                  </w:r>
                </w:p>
              </w:tc>
              <w:tc>
                <w:tcPr>
                  <w:tcW w:w="458"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46.</w:t>
                  </w:r>
                  <w:r>
                    <w:rPr>
                      <w:rFonts w:hint="eastAsia"/>
                      <w:color w:val="auto"/>
                      <w:highlight w:val="none"/>
                      <w:lang w:val="en-US" w:eastAsia="zh-CN"/>
                    </w:rPr>
                    <w:t>3</w:t>
                  </w:r>
                </w:p>
              </w:tc>
              <w:tc>
                <w:tcPr>
                  <w:tcW w:w="84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噪声达标分析</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由预测结果可知，</w:t>
            </w:r>
            <w:r>
              <w:rPr>
                <w:rFonts w:hint="eastAsia" w:cs="Times New Roman"/>
                <w:color w:val="auto"/>
                <w:sz w:val="24"/>
                <w:szCs w:val="24"/>
                <w:highlight w:val="none"/>
                <w:lang w:val="en-US" w:eastAsia="zh-CN"/>
              </w:rPr>
              <w:t>营运期</w:t>
            </w:r>
            <w:r>
              <w:rPr>
                <w:rFonts w:hint="default" w:ascii="Times New Roman" w:hAnsi="Times New Roman" w:cs="Times New Roman"/>
                <w:color w:val="auto"/>
                <w:sz w:val="24"/>
                <w:szCs w:val="24"/>
                <w:highlight w:val="none"/>
                <w:lang w:val="en-US" w:eastAsia="zh-CN"/>
              </w:rPr>
              <w:t>厂界四周预测点噪声排放值均满足《工业企业厂界环境噪声排放标准》（GB12348-2008）2类标准，可实现达标排放。</w:t>
            </w:r>
            <w:r>
              <w:rPr>
                <w:rFonts w:hint="eastAsia" w:cs="Times New Roman"/>
                <w:color w:val="auto"/>
                <w:sz w:val="24"/>
                <w:szCs w:val="24"/>
                <w:highlight w:val="none"/>
                <w:lang w:val="en-US" w:eastAsia="zh-CN"/>
              </w:rPr>
              <w:t>营运期敏感点噪声排放值满足《声环境质量标准》（GB3096-2008）2类标准。</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、监测计划</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本次环评根据《排污单位自行监测技术指南 总则》（HJ819-2017）提出项目生产运行阶段的污染源监测计划，详见下表。</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12</w:t>
            </w:r>
            <w:r>
              <w:rPr>
                <w:rFonts w:hint="default" w:ascii="Times New Roman" w:hAnsi="Times New Roman" w:eastAsia="黑体" w:cs="Times New Roman"/>
                <w:color w:val="auto"/>
                <w:szCs w:val="21"/>
                <w:highlight w:val="none"/>
              </w:rPr>
              <w:t xml:space="preserve"> 噪声监测要求</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675"/>
              <w:gridCol w:w="2167"/>
              <w:gridCol w:w="3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1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92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监测指标</w:t>
                  </w:r>
                </w:p>
              </w:tc>
              <w:tc>
                <w:tcPr>
                  <w:tcW w:w="119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c>
                <w:tcPr>
                  <w:tcW w:w="2169" w:type="pct"/>
                  <w:noWrap w:val="0"/>
                  <w:vAlign w:val="top"/>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1"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w:t>
                  </w:r>
                </w:p>
              </w:tc>
              <w:tc>
                <w:tcPr>
                  <w:tcW w:w="92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厂界噪声</w:t>
                  </w:r>
                </w:p>
              </w:tc>
              <w:tc>
                <w:tcPr>
                  <w:tcW w:w="119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季度/次</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昼夜各一次</w:t>
                  </w:r>
                </w:p>
              </w:tc>
              <w:tc>
                <w:tcPr>
                  <w:tcW w:w="216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《工业企业厂界环境噪声排放标准》（GB12348-2008）2类标准</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四、固体废物排放及治理措施</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本项目产生的固废主要包括一般固废和危险废物。</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（1）一般固废</w:t>
            </w:r>
          </w:p>
          <w:p>
            <w:pPr>
              <w:keepNext w:val="0"/>
              <w:keepLines w:val="0"/>
              <w:pageBreakBefore w:val="0"/>
              <w:wordWrap/>
              <w:topLinePunct w:val="0"/>
              <w:bidi w:val="0"/>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1）生活垃圾</w:t>
            </w:r>
            <w:r>
              <w:rPr>
                <w:rFonts w:hint="eastAsia" w:cs="Times New Roman"/>
                <w:b/>
                <w:bCs/>
                <w:color w:val="auto"/>
                <w:sz w:val="24"/>
                <w:highlight w:val="none"/>
                <w:lang w:val="en-US" w:eastAsia="zh-CN"/>
              </w:rPr>
              <w:t xml:space="preserve"> </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本项目住院病人和陪护人员按照1:1计，共计</w:t>
            </w:r>
            <w:r>
              <w:rPr>
                <w:rFonts w:hint="eastAsia" w:cs="Times New Roman"/>
                <w:color w:val="auto"/>
                <w:sz w:val="24"/>
                <w:highlight w:val="none"/>
                <w:lang w:val="en-US" w:eastAsia="zh-CN"/>
              </w:rPr>
              <w:t>210</w:t>
            </w:r>
            <w:r>
              <w:rPr>
                <w:rFonts w:hint="default" w:ascii="Times New Roman" w:hAnsi="Times New Roman" w:cs="Times New Roman"/>
                <w:color w:val="auto"/>
                <w:sz w:val="24"/>
                <w:highlight w:val="none"/>
              </w:rPr>
              <w:t>人，项目医务人员</w:t>
            </w:r>
            <w:r>
              <w:rPr>
                <w:rFonts w:hint="eastAsia" w:cs="Times New Roman"/>
                <w:color w:val="auto"/>
                <w:sz w:val="24"/>
                <w:highlight w:val="none"/>
                <w:lang w:val="en-US" w:eastAsia="zh-CN"/>
              </w:rPr>
              <w:t>150</w:t>
            </w:r>
            <w:r>
              <w:rPr>
                <w:rFonts w:hint="default" w:ascii="Times New Roman" w:hAnsi="Times New Roman" w:cs="Times New Roman"/>
                <w:color w:val="auto"/>
                <w:sz w:val="24"/>
                <w:highlight w:val="none"/>
              </w:rPr>
              <w:t>人，根据《城镇生活污染源产排污系数手册（2010年）》，生活垃圾产生量按0.64kg/d·人计，则医院职工、住院病人和陪护人员生活垃圾产生量为</w:t>
            </w:r>
            <w:r>
              <w:rPr>
                <w:rFonts w:hint="eastAsia" w:cs="Times New Roman"/>
                <w:color w:val="auto"/>
                <w:sz w:val="24"/>
                <w:highlight w:val="none"/>
                <w:lang w:val="en-US" w:eastAsia="zh-CN"/>
              </w:rPr>
              <w:t>230.4</w:t>
            </w:r>
            <w:r>
              <w:rPr>
                <w:rFonts w:hint="default" w:ascii="Times New Roman" w:hAnsi="Times New Roman" w:cs="Times New Roman"/>
                <w:color w:val="auto"/>
                <w:sz w:val="24"/>
                <w:highlight w:val="none"/>
              </w:rPr>
              <w:t>kg/d；门诊病人峰值量为</w:t>
            </w:r>
            <w:r>
              <w:rPr>
                <w:rFonts w:hint="eastAsia" w:cs="Times New Roman"/>
                <w:color w:val="auto"/>
                <w:sz w:val="24"/>
                <w:highlight w:val="none"/>
                <w:lang w:val="en-US" w:eastAsia="zh-CN"/>
              </w:rPr>
              <w:t>100</w:t>
            </w:r>
            <w:r>
              <w:rPr>
                <w:rFonts w:hint="default" w:ascii="Times New Roman" w:hAnsi="Times New Roman" w:cs="Times New Roman"/>
                <w:color w:val="auto"/>
                <w:sz w:val="24"/>
                <w:highlight w:val="none"/>
              </w:rPr>
              <w:t>人/d，生活垃圾产生量按照0.1kg/d人计，则门诊病人生活垃圾产生量为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kg/d。则本项目</w:t>
            </w:r>
            <w:r>
              <w:rPr>
                <w:rFonts w:hint="eastAsia" w:cs="Times New Roman"/>
                <w:color w:val="auto"/>
                <w:sz w:val="24"/>
                <w:highlight w:val="none"/>
                <w:lang w:eastAsia="zh-CN"/>
              </w:rPr>
              <w:t>营运期</w:t>
            </w:r>
            <w:r>
              <w:rPr>
                <w:rFonts w:hint="default" w:ascii="Times New Roman" w:hAnsi="Times New Roman" w:cs="Times New Roman"/>
                <w:color w:val="auto"/>
                <w:sz w:val="24"/>
                <w:highlight w:val="none"/>
              </w:rPr>
              <w:t>生活垃圾总量为</w:t>
            </w:r>
            <w:r>
              <w:rPr>
                <w:rFonts w:hint="eastAsia" w:cs="Times New Roman"/>
                <w:color w:val="auto"/>
                <w:sz w:val="24"/>
                <w:highlight w:val="none"/>
                <w:lang w:val="en-US" w:eastAsia="zh-CN"/>
              </w:rPr>
              <w:t>240.4</w:t>
            </w:r>
            <w:r>
              <w:rPr>
                <w:rFonts w:hint="default" w:ascii="Times New Roman" w:hAnsi="Times New Roman" w:cs="Times New Roman"/>
                <w:color w:val="auto"/>
                <w:sz w:val="24"/>
                <w:highlight w:val="none"/>
              </w:rPr>
              <w:t>kg/d、</w:t>
            </w:r>
            <w:r>
              <w:rPr>
                <w:rFonts w:hint="eastAsia" w:cs="Times New Roman"/>
                <w:color w:val="auto"/>
                <w:sz w:val="24"/>
                <w:highlight w:val="none"/>
                <w:lang w:val="en-US" w:eastAsia="zh-CN"/>
              </w:rPr>
              <w:t>87.75</w:t>
            </w:r>
            <w:r>
              <w:rPr>
                <w:rFonts w:hint="default" w:ascii="Times New Roman" w:hAnsi="Times New Roman" w:cs="Times New Roman"/>
                <w:color w:val="auto"/>
                <w:sz w:val="24"/>
                <w:highlight w:val="none"/>
              </w:rPr>
              <w:t>t/a，经收集后交由环卫部门清运处理。</w:t>
            </w:r>
          </w:p>
          <w:p>
            <w:pPr>
              <w:keepNext w:val="0"/>
              <w:keepLines w:val="0"/>
              <w:pageBreakBefore w:val="0"/>
              <w:wordWrap/>
              <w:topLinePunct w:val="0"/>
              <w:bidi w:val="0"/>
              <w:spacing w:line="360" w:lineRule="auto"/>
              <w:ind w:left="0" w:leftChars="0" w:firstLine="435"/>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2）餐厨垃圾（含</w:t>
            </w:r>
            <w:r>
              <w:rPr>
                <w:rFonts w:hint="default" w:ascii="Times New Roman" w:hAnsi="Times New Roman" w:cs="Times New Roman"/>
                <w:b/>
                <w:bCs/>
                <w:color w:val="auto"/>
                <w:sz w:val="24"/>
                <w:highlight w:val="none"/>
                <w:lang w:val="en-US" w:eastAsia="zh-CN"/>
              </w:rPr>
              <w:t>油水分离器</w:t>
            </w:r>
            <w:r>
              <w:rPr>
                <w:rFonts w:hint="default" w:ascii="Times New Roman" w:hAnsi="Times New Roman" w:cs="Times New Roman"/>
                <w:b/>
                <w:bCs/>
                <w:color w:val="auto"/>
                <w:sz w:val="24"/>
                <w:highlight w:val="none"/>
              </w:rPr>
              <w:t>浮油）</w:t>
            </w:r>
          </w:p>
          <w:p>
            <w:pPr>
              <w:keepNext w:val="0"/>
              <w:keepLines w:val="0"/>
              <w:pageBreakBefore w:val="0"/>
              <w:wordWrap/>
              <w:topLinePunct w:val="0"/>
              <w:bidi w:val="0"/>
              <w:spacing w:line="360" w:lineRule="auto"/>
              <w:ind w:left="0" w:leftChars="0"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食堂产生的餐厨废物和隔油设备浮油的产生量按0.1kg/人·d计，本项目食堂接待量</w:t>
            </w:r>
            <w:r>
              <w:rPr>
                <w:rFonts w:hint="eastAsia" w:cs="Times New Roman"/>
                <w:color w:val="auto"/>
                <w:sz w:val="24"/>
                <w:highlight w:val="none"/>
                <w:lang w:val="en-US" w:eastAsia="zh-CN"/>
              </w:rPr>
              <w:t>250</w:t>
            </w:r>
            <w:r>
              <w:rPr>
                <w:rFonts w:hint="default" w:ascii="Times New Roman" w:hAnsi="Times New Roman" w:cs="Times New Roman"/>
                <w:color w:val="auto"/>
                <w:sz w:val="24"/>
                <w:highlight w:val="none"/>
              </w:rPr>
              <w:t>人/d，则营运期餐厨垃圾（含废油脂）产生量为</w:t>
            </w:r>
            <w:r>
              <w:rPr>
                <w:rFonts w:hint="eastAsia" w:cs="Times New Roman"/>
                <w:color w:val="auto"/>
                <w:sz w:val="24"/>
                <w:highlight w:val="none"/>
                <w:lang w:val="en-US" w:eastAsia="zh-CN"/>
              </w:rPr>
              <w:t>25kg</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9.13</w:t>
            </w:r>
            <w:r>
              <w:rPr>
                <w:rFonts w:hint="default" w:ascii="Times New Roman" w:hAnsi="Times New Roman" w:cs="Times New Roman"/>
                <w:color w:val="auto"/>
                <w:sz w:val="24"/>
                <w:highlight w:val="none"/>
              </w:rPr>
              <w:t>t/a），经收集后交由有资质的餐厨垃圾处理单位处理。</w:t>
            </w:r>
          </w:p>
          <w:p>
            <w:pPr>
              <w:keepNext w:val="0"/>
              <w:keepLines w:val="0"/>
              <w:pageBreakBefore w:val="0"/>
              <w:wordWrap/>
              <w:topLinePunct w:val="0"/>
              <w:bidi w:val="0"/>
              <w:spacing w:line="360" w:lineRule="auto"/>
              <w:ind w:left="0" w:leftChars="0" w:firstLine="435"/>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rPr>
              <w:t>）未感染的输液瓶（袋）</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关于在医疗机构推进生活垃圾分类管理的通知》（国卫办医发〔2017〕30号）可知，“对于未被患者血液、体液和排泄物等污染的输液瓶（袋），应当在其与输液管连接处去除输液管后单独集中收集回收、存放。去除后的输液管、针头等应当严格按照医疗危险废物处理，严禁混入未被污染的输液瓶（袋）及其他生活垃圾中。残留少量经稀释的普通药液的输液瓶（袋），可以按照未被污染的输液瓶（袋）处理。但存在下列情形的输液瓶（袋），即使未被患者血液、体液和排泄物等污染，也不得纳入一般固废管理：①在传染病区使用，或者用于传染病患者、疑似传染病患者以及采取隔离措施的其他患者的输液瓶（袋），应当按照感染性医疗废物处理。②输液涉及使用细胞毒性药物（如肿瘤化疗药物等）的输液瓶（袋），应当按照药物性医疗废物处理。③输液涉及使用麻醉类药品、精神类药品、易制毒药品和放射性药品的输液瓶（袋），应当严格按照相关规定处理。”</w:t>
            </w:r>
          </w:p>
          <w:p>
            <w:pPr>
              <w:keepNext w:val="0"/>
              <w:keepLines w:val="0"/>
              <w:pageBreakBefore w:val="0"/>
              <w:wordWrap/>
              <w:topLinePunct w:val="0"/>
              <w:bidi w:val="0"/>
              <w:spacing w:line="360" w:lineRule="auto"/>
              <w:ind w:left="0" w:leftChars="0" w:firstLine="480" w:firstLineChars="200"/>
              <w:rPr>
                <w:rFonts w:hint="eastAsia" w:cs="Times New Roman"/>
                <w:color w:val="auto"/>
                <w:sz w:val="24"/>
                <w:highlight w:val="none"/>
                <w:lang w:eastAsia="zh-CN"/>
              </w:rPr>
            </w:pPr>
            <w:r>
              <w:rPr>
                <w:rFonts w:hint="eastAsia" w:cs="Times New Roman"/>
                <w:color w:val="auto"/>
                <w:sz w:val="24"/>
                <w:highlight w:val="none"/>
                <w:lang w:val="en-US" w:eastAsia="zh-CN"/>
              </w:rPr>
              <w:t>项目可纳入一般固废管理的</w:t>
            </w:r>
            <w:r>
              <w:rPr>
                <w:rFonts w:hint="eastAsia" w:cs="Times New Roman"/>
                <w:color w:val="auto"/>
                <w:sz w:val="24"/>
                <w:highlight w:val="none"/>
                <w:lang w:eastAsia="zh-CN"/>
              </w:rPr>
              <w:t>未感染的输液瓶（袋）产生量约</w:t>
            </w:r>
            <w:r>
              <w:rPr>
                <w:rFonts w:hint="eastAsia" w:cs="Times New Roman"/>
                <w:color w:val="auto"/>
                <w:sz w:val="24"/>
                <w:highlight w:val="none"/>
                <w:lang w:val="en-US" w:eastAsia="zh-CN"/>
              </w:rPr>
              <w:t>2.0</w:t>
            </w:r>
            <w:r>
              <w:rPr>
                <w:rFonts w:hint="eastAsia" w:cs="Times New Roman"/>
                <w:color w:val="auto"/>
                <w:sz w:val="24"/>
                <w:highlight w:val="none"/>
                <w:lang w:eastAsia="zh-CN"/>
              </w:rPr>
              <w:t>t/a。</w:t>
            </w:r>
            <w:r>
              <w:rPr>
                <w:rFonts w:hint="default" w:ascii="Times New Roman" w:hAnsi="Times New Roman" w:cs="Times New Roman"/>
                <w:color w:val="auto"/>
                <w:sz w:val="24"/>
                <w:highlight w:val="none"/>
              </w:rPr>
              <w:t>未感染的输液瓶（袋）经统一容器收集后，定期</w:t>
            </w:r>
            <w:r>
              <w:rPr>
                <w:rFonts w:hint="eastAsia" w:ascii="Times New Roman" w:hAnsi="Times New Roman" w:cs="Times New Roman"/>
                <w:color w:val="auto"/>
                <w:sz w:val="24"/>
                <w:highlight w:val="none"/>
                <w:lang w:eastAsia="zh-CN"/>
              </w:rPr>
              <w:t>交由回收公司处理</w:t>
            </w:r>
            <w:r>
              <w:rPr>
                <w:rFonts w:hint="default" w:ascii="Times New Roman" w:hAnsi="Times New Roman" w:cs="Times New Roman"/>
                <w:color w:val="auto"/>
                <w:sz w:val="24"/>
                <w:highlight w:val="none"/>
              </w:rPr>
              <w:t>，并建立管理台账</w:t>
            </w:r>
            <w:r>
              <w:rPr>
                <w:rFonts w:hint="default" w:ascii="Times New Roman" w:hAnsi="Times New Roman" w:cs="Times New Roman"/>
                <w:color w:val="auto"/>
                <w:sz w:val="24"/>
                <w:highlight w:val="none"/>
                <w:lang w:eastAsia="zh-CN"/>
              </w:rPr>
              <w:t>。</w:t>
            </w:r>
          </w:p>
          <w:p>
            <w:pPr>
              <w:keepNext w:val="0"/>
              <w:keepLines w:val="0"/>
              <w:pageBreakBefore w:val="0"/>
              <w:wordWrap/>
              <w:topLinePunct w:val="0"/>
              <w:bidi w:val="0"/>
              <w:spacing w:line="360" w:lineRule="auto"/>
              <w:ind w:left="0" w:leftChars="0" w:firstLine="482" w:firstLineChars="200"/>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eastAsia" w:cs="Times New Roman"/>
                <w:b/>
                <w:bCs/>
                <w:color w:val="auto"/>
                <w:sz w:val="24"/>
                <w:highlight w:val="none"/>
                <w:lang w:eastAsia="zh-CN"/>
              </w:rPr>
              <w:t>）</w:t>
            </w:r>
            <w:r>
              <w:rPr>
                <w:rFonts w:hint="eastAsia" w:cs="Times New Roman"/>
                <w:b/>
                <w:bCs/>
                <w:color w:val="auto"/>
                <w:sz w:val="24"/>
                <w:highlight w:val="none"/>
                <w:lang w:val="en-US" w:eastAsia="zh-CN"/>
              </w:rPr>
              <w:t>废包装材料</w:t>
            </w:r>
          </w:p>
          <w:p>
            <w:pPr>
              <w:keepNext w:val="0"/>
              <w:keepLines w:val="0"/>
              <w:pageBreakBefore w:val="0"/>
              <w:wordWrap/>
              <w:topLinePunct w:val="0"/>
              <w:bidi w:val="0"/>
              <w:spacing w:line="360" w:lineRule="auto"/>
              <w:ind w:left="0" w:leftChars="0" w:firstLine="480" w:firstLineChars="200"/>
              <w:rPr>
                <w:rFonts w:hint="eastAsia"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项目废包装材料来源于药品包装等，产生量约0.5t/a</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项目废包装材料经收集后外售废品回收站</w:t>
            </w:r>
            <w:r>
              <w:rPr>
                <w:rFonts w:hint="eastAsia" w:cs="Times New Roman"/>
                <w:color w:val="auto"/>
                <w:sz w:val="24"/>
                <w:highlight w:val="none"/>
                <w:lang w:val="en-US" w:eastAsia="zh-CN"/>
              </w:rPr>
              <w:t>。</w:t>
            </w:r>
          </w:p>
          <w:p>
            <w:pPr>
              <w:keepNext w:val="0"/>
              <w:keepLines w:val="0"/>
              <w:pageBreakBefore w:val="0"/>
              <w:numPr>
                <w:ilvl w:val="0"/>
                <w:numId w:val="0"/>
              </w:numPr>
              <w:wordWrap/>
              <w:topLinePunct w:val="0"/>
              <w:bidi w:val="0"/>
              <w:spacing w:line="360" w:lineRule="auto"/>
              <w:ind w:firstLine="482" w:firstLineChars="200"/>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5）废过滤材料</w:t>
            </w:r>
          </w:p>
          <w:p>
            <w:pPr>
              <w:keepNext w:val="0"/>
              <w:keepLines w:val="0"/>
              <w:pageBreakBefore w:val="0"/>
              <w:numPr>
                <w:ilvl w:val="0"/>
                <w:numId w:val="0"/>
              </w:numPr>
              <w:wordWrap/>
              <w:topLinePunct w:val="0"/>
              <w:bidi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项目废过滤材料主要有多介质滤材、活性炭、树脂软化器、反渗透膜等，废过滤材料均来源血透中心设置的1套水处理处理系统。根据各类废过滤材料的使用时间，废多介质材料一年更换一次，产生量约为0.6t/a；废活性炭一年更换一次，产生量约为0.45t/a；废树脂软化器1~2年更换一次，产生量约为0.23t/a；废反渗透膜2~3年更换一次，产生量约为0.25t/a。则废过滤材料产生量约为1.53t/a。项目废过滤材料更换下来后均交由厂家回收。</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（2）危险废物</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1）医疗废物（HW01）</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医疗废物主要产生于门诊、治疗室、病房等区域产生的具有直接或者间接感染性、毒性以及其他危害性的废物（含检验废液</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废过滤材料、废培养基等</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项目</w:t>
            </w:r>
            <w:r>
              <w:rPr>
                <w:rFonts w:hint="default" w:ascii="Times New Roman" w:hAnsi="Times New Roman" w:cs="Times New Roman"/>
                <w:color w:val="auto"/>
                <w:sz w:val="24"/>
                <w:highlight w:val="none"/>
              </w:rPr>
              <w:t>检验废液来自医院检验科产生的检验废液，产生量约</w:t>
            </w:r>
            <w:r>
              <w:rPr>
                <w:rFonts w:hint="eastAsia" w:cs="Times New Roman"/>
                <w:color w:val="auto"/>
                <w:sz w:val="24"/>
                <w:highlight w:val="none"/>
                <w:lang w:val="en-US" w:eastAsia="zh-CN"/>
              </w:rPr>
              <w:t>7.3</w:t>
            </w:r>
            <w:r>
              <w:rPr>
                <w:rFonts w:hint="default" w:ascii="Times New Roman" w:hAnsi="Times New Roman" w:cs="Times New Roman"/>
                <w:color w:val="auto"/>
                <w:sz w:val="24"/>
                <w:highlight w:val="none"/>
              </w:rPr>
              <w:t>t/a</w:t>
            </w:r>
            <w:r>
              <w:rPr>
                <w:rFonts w:hint="eastAsia" w:cs="Times New Roman"/>
                <w:color w:val="auto"/>
                <w:sz w:val="24"/>
                <w:highlight w:val="none"/>
                <w:lang w:eastAsia="zh-CN"/>
              </w:rPr>
              <w:t>；</w:t>
            </w:r>
            <w:r>
              <w:rPr>
                <w:rFonts w:hint="eastAsia" w:cs="Times New Roman"/>
                <w:color w:val="auto"/>
                <w:sz w:val="24"/>
                <w:highlight w:val="none"/>
                <w:lang w:val="en-US" w:eastAsia="zh-CN"/>
              </w:rPr>
              <w:t>生物安全柜高效过滤器为有机微孔薄膜，使用寿命约4-5年，更换的过滤器应消毒后暂存于医疗废物暂存间，产生量约为0.1t/a；</w:t>
            </w:r>
            <w:r>
              <w:rPr>
                <w:rFonts w:hint="default" w:ascii="Times New Roman" w:hAnsi="Times New Roman" w:cs="Times New Roman"/>
                <w:color w:val="auto"/>
                <w:kern w:val="0"/>
                <w:sz w:val="24"/>
                <w:highlight w:val="none"/>
              </w:rPr>
              <w:t>根据《全国第一次污染源普查城镇生活污染源产排污系数手册（2010年）》，医疗废物产生量按0.65kg/床﹒d计，本项目床位</w:t>
            </w:r>
            <w:r>
              <w:rPr>
                <w:rFonts w:hint="eastAsia" w:cs="Times New Roman"/>
                <w:color w:val="auto"/>
                <w:kern w:val="0"/>
                <w:sz w:val="24"/>
                <w:highlight w:val="none"/>
                <w:lang w:val="en-US" w:eastAsia="zh-CN"/>
              </w:rPr>
              <w:t>105</w:t>
            </w:r>
            <w:r>
              <w:rPr>
                <w:rFonts w:hint="default" w:ascii="Times New Roman" w:hAnsi="Times New Roman" w:cs="Times New Roman"/>
                <w:color w:val="auto"/>
                <w:kern w:val="0"/>
                <w:sz w:val="24"/>
                <w:highlight w:val="none"/>
              </w:rPr>
              <w:t>张，则营运期医疗垃圾产生量为</w:t>
            </w:r>
            <w:r>
              <w:rPr>
                <w:rFonts w:hint="eastAsia" w:cs="Times New Roman"/>
                <w:color w:val="auto"/>
                <w:kern w:val="0"/>
                <w:sz w:val="24"/>
                <w:highlight w:val="none"/>
                <w:lang w:val="en-US" w:eastAsia="zh-CN"/>
              </w:rPr>
              <w:t>68.25kg</w:t>
            </w:r>
            <w:r>
              <w:rPr>
                <w:rFonts w:hint="default" w:ascii="Times New Roman" w:hAnsi="Times New Roman" w:cs="Times New Roman"/>
                <w:color w:val="auto"/>
                <w:kern w:val="0"/>
                <w:sz w:val="24"/>
                <w:highlight w:val="none"/>
              </w:rPr>
              <w:t>/d（</w:t>
            </w:r>
            <w:r>
              <w:rPr>
                <w:rFonts w:hint="eastAsia" w:cs="Times New Roman"/>
                <w:color w:val="auto"/>
                <w:kern w:val="0"/>
                <w:sz w:val="24"/>
                <w:highlight w:val="none"/>
                <w:lang w:val="en-US" w:eastAsia="zh-CN"/>
              </w:rPr>
              <w:t>24.91</w:t>
            </w:r>
            <w:r>
              <w:rPr>
                <w:rFonts w:hint="default" w:ascii="Times New Roman" w:hAnsi="Times New Roman" w:cs="Times New Roman"/>
                <w:color w:val="auto"/>
                <w:kern w:val="0"/>
                <w:sz w:val="24"/>
                <w:highlight w:val="none"/>
              </w:rPr>
              <w:t>t/a）；门诊就诊高峰量为</w:t>
            </w:r>
            <w:r>
              <w:rPr>
                <w:rFonts w:hint="eastAsia" w:cs="Times New Roman"/>
                <w:color w:val="auto"/>
                <w:kern w:val="0"/>
                <w:sz w:val="24"/>
                <w:highlight w:val="none"/>
                <w:lang w:val="en-US" w:eastAsia="zh-CN"/>
              </w:rPr>
              <w:t>100</w:t>
            </w:r>
            <w:r>
              <w:rPr>
                <w:rFonts w:hint="default" w:ascii="Times New Roman" w:hAnsi="Times New Roman" w:cs="Times New Roman"/>
                <w:color w:val="auto"/>
                <w:kern w:val="0"/>
                <w:sz w:val="24"/>
                <w:highlight w:val="none"/>
              </w:rPr>
              <w:t>人/d，门诊病人医疗废物产生量按0.02kg/d计，则门诊病人医疗废物产生量为</w:t>
            </w:r>
            <w:r>
              <w:rPr>
                <w:rFonts w:hint="eastAsia" w:cs="Times New Roman"/>
                <w:color w:val="auto"/>
                <w:kern w:val="0"/>
                <w:sz w:val="24"/>
                <w:highlight w:val="none"/>
                <w:lang w:val="en-US" w:eastAsia="zh-CN"/>
              </w:rPr>
              <w:t>2kg/d（0.73</w:t>
            </w:r>
            <w:r>
              <w:rPr>
                <w:rFonts w:hint="default" w:ascii="Times New Roman" w:hAnsi="Times New Roman" w:cs="Times New Roman"/>
                <w:color w:val="auto"/>
                <w:kern w:val="0"/>
                <w:sz w:val="24"/>
                <w:highlight w:val="none"/>
              </w:rPr>
              <w:t>t/a</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产生总量为70.25kg/d（25.64t/a）</w:t>
            </w:r>
            <w:r>
              <w:rPr>
                <w:rFonts w:hint="eastAsia" w:cs="Times New Roman"/>
                <w:color w:val="auto"/>
                <w:sz w:val="24"/>
                <w:highlight w:val="none"/>
                <w:lang w:eastAsia="zh-CN"/>
              </w:rPr>
              <w:t>；</w:t>
            </w:r>
            <w:r>
              <w:rPr>
                <w:rFonts w:hint="default" w:ascii="Times New Roman" w:hAnsi="Times New Roman" w:cs="Times New Roman"/>
                <w:color w:val="auto"/>
                <w:kern w:val="0"/>
                <w:sz w:val="24"/>
                <w:highlight w:val="none"/>
              </w:rPr>
              <w:t>属于《国家危险废物名录（2021年版）》中HW01医疗废物的“841-001-01感染性废物、841-002-01损伤性废物、841-003-01病理性废物、841-004-01化学性废物、841-005-01药物性废物”，</w:t>
            </w:r>
            <w:r>
              <w:rPr>
                <w:rFonts w:hint="default" w:ascii="Times New Roman" w:hAnsi="Times New Roman" w:cs="Times New Roman"/>
                <w:color w:val="auto"/>
                <w:sz w:val="24"/>
                <w:highlight w:val="none"/>
              </w:rPr>
              <w:t>经分类收集后暂存于医疗废物暂存间，定期交由有资质单位处置。</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表4-1</w:t>
            </w:r>
            <w:r>
              <w:rPr>
                <w:rFonts w:hint="eastAsia" w:eastAsia="黑体" w:cs="Times New Roman"/>
                <w:color w:val="auto"/>
                <w:szCs w:val="21"/>
                <w:highlight w:val="none"/>
                <w:lang w:val="en-US" w:eastAsia="zh-CN"/>
              </w:rPr>
              <w:t>3</w:t>
            </w:r>
            <w:r>
              <w:rPr>
                <w:rFonts w:hint="default" w:ascii="Times New Roman" w:hAnsi="Times New Roman" w:eastAsia="黑体" w:cs="Times New Roman"/>
                <w:color w:val="auto"/>
                <w:szCs w:val="21"/>
                <w:highlight w:val="none"/>
              </w:rPr>
              <w:t xml:space="preserve">  医疗废物名录</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818"/>
              <w:gridCol w:w="5701"/>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62"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类别</w:t>
                  </w:r>
                </w:p>
              </w:tc>
              <w:tc>
                <w:tcPr>
                  <w:tcW w:w="1002"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特征</w:t>
                  </w:r>
                </w:p>
              </w:tc>
              <w:tc>
                <w:tcPr>
                  <w:tcW w:w="3142"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常见组分或废物名称</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6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感染性废物</w:t>
                  </w:r>
                </w:p>
              </w:tc>
              <w:tc>
                <w:tcPr>
                  <w:tcW w:w="100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携带病原微生物具有引发感染性疾病传播危险的医疗废物</w:t>
                  </w: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1、被患者血液、体液、排泄物等污染的除锐器以外的废物。</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2、使用后废弃的一次性使用医疗器械，如注射器、输液器、透析器等。</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3、病原微生物实验室废弃的病原体培养基、标本，菌种和毒种保存液及其容器；其他实验室及科室废弃的血液、血清、分泌物等标本和容器。</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4、隔离传染病患者或者疑似传染病患者产生的废弃物。</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6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病理性废物</w:t>
                  </w:r>
                </w:p>
              </w:tc>
              <w:tc>
                <w:tcPr>
                  <w:tcW w:w="100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诊疗过程中产生的人体废弃物和医学实验动物尸体等</w:t>
                  </w: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1、手术及其他医学服务过程中产生的废弃的人体组织、器官。</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2、病理切片后废弃的人体组织、病理蜡块。</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3、废弃的医学实验动物的组织和尸体。</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4、16周胎龄以下或重量不足500克的胚胎组织等。</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5、确诊、疑似传染病或携带传染病病原体的产妇的胎盘。</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损伤性废物</w:t>
                  </w:r>
                </w:p>
              </w:tc>
              <w:tc>
                <w:tcPr>
                  <w:tcW w:w="100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能够刺伤或者割伤人体的废弃的医用锐器</w:t>
                  </w: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1、废弃的金属类锐器，如针头、缝合针、针灸针、探针、穿刺针、解剖刀、手术刀、手术锯、备皮刀、钢钉和导丝等。</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2、废弃的玻璃类锐器，如盖玻片、载玻片、玻璃安瓿等。</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3、废弃的其他材质类锐器。</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6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药物性废物</w:t>
                  </w:r>
                </w:p>
              </w:tc>
              <w:tc>
                <w:tcPr>
                  <w:tcW w:w="1002" w:type="pct"/>
                  <w:vMerge w:val="restar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过期、淘汰、变质或者被污染的废弃的药品</w:t>
                  </w: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1、废弃的一般性药物。</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2、废弃的细胞毒性药物和遗传毒性药物。</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6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1002" w:type="pct"/>
                  <w:vMerge w:val="continue"/>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3、废弃的疫苗及血液制品。</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362"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化学性废物</w:t>
                  </w:r>
                </w:p>
              </w:tc>
              <w:tc>
                <w:tcPr>
                  <w:tcW w:w="1002"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具有毒性、腐蚀性、易燃易爆性的废弃的化学物品</w:t>
                  </w:r>
                </w:p>
              </w:tc>
              <w:tc>
                <w:tcPr>
                  <w:tcW w:w="3142" w:type="pct"/>
                  <w:noWrap w:val="0"/>
                  <w:vAlign w:val="center"/>
                </w:tcPr>
                <w:p>
                  <w:pPr>
                    <w:pStyle w:val="34"/>
                    <w:keepNext w:val="0"/>
                    <w:keepLines w:val="0"/>
                    <w:pageBreakBefore w:val="0"/>
                    <w:wordWrap/>
                    <w:topLinePunct w:val="0"/>
                    <w:bidi w:val="0"/>
                    <w:spacing w:line="240" w:lineRule="auto"/>
                    <w:ind w:left="0" w:left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列入《国家危险废物名录》中的废弃危险化学品，如甲醛、二甲苯等，非特定行业来源的危险废物，如含汞血压计、含汞体温计、废弃的牙科汞合金材料及其残余物等。</w:t>
                  </w:r>
                </w:p>
              </w:tc>
              <w:tc>
                <w:tcPr>
                  <w:tcW w:w="493" w:type="pct"/>
                  <w:noWrap w:val="0"/>
                  <w:vAlign w:val="center"/>
                </w:tcPr>
                <w:p>
                  <w:pPr>
                    <w:pStyle w:val="34"/>
                    <w:keepNext w:val="0"/>
                    <w:keepLines w:val="0"/>
                    <w:pageBreakBefore w:val="0"/>
                    <w:wordWrap/>
                    <w:topLinePunct w:val="0"/>
                    <w:bidi w:val="0"/>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有</w:t>
                  </w:r>
                </w:p>
              </w:tc>
            </w:tr>
          </w:tbl>
          <w:p>
            <w:pPr>
              <w:keepNext w:val="0"/>
              <w:keepLines w:val="0"/>
              <w:pageBreakBefore w:val="0"/>
              <w:wordWrap/>
              <w:topLinePunct w:val="0"/>
              <w:bidi w:val="0"/>
              <w:spacing w:line="360" w:lineRule="auto"/>
              <w:ind w:left="0" w:leftChars="0"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rPr>
              <w:t>2）废药品（HW03）</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废药品主要来源于医院药房过期未使用药品或者变质药品，产生量约0.</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t/a，属于《国家危险废物名录（2021年版）》中HW03废药物、废药品的“非特定行业/900-002-03销售及使用过程中产生的失效、变质、不合格、淘汰、伪劣的化学药品和生物制品（不包括列入《国家基本药物目录》中的维生素、矿物质类药，调节水、电解质及酸碱平衡药），以及《医疗用毒性药品管理办法》中所列的毒性中药”，</w:t>
            </w:r>
            <w:r>
              <w:rPr>
                <w:rFonts w:hint="default" w:ascii="Times New Roman" w:hAnsi="Times New Roman" w:cs="Times New Roman"/>
                <w:color w:val="auto"/>
                <w:sz w:val="24"/>
                <w:highlight w:val="none"/>
              </w:rPr>
              <w:t>经分类收集后暂存于医疗废物暂存间，定期交由有资质单位处置。</w:t>
            </w:r>
            <w:r>
              <w:rPr>
                <w:rFonts w:hint="default" w:ascii="Times New Roman" w:hAnsi="Times New Roman" w:cs="Times New Roman"/>
                <w:color w:val="auto"/>
                <w:kern w:val="0"/>
                <w:sz w:val="24"/>
                <w:highlight w:val="none"/>
              </w:rPr>
              <w:t xml:space="preserve"> </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3）污泥（HW01）</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污泥来自医院污水处理系统（</w:t>
            </w:r>
            <w:r>
              <w:rPr>
                <w:rFonts w:hint="eastAsia" w:cs="Times New Roman"/>
                <w:color w:val="auto"/>
                <w:sz w:val="24"/>
                <w:highlight w:val="none"/>
                <w:lang w:val="en-US" w:eastAsia="zh-CN"/>
              </w:rPr>
              <w:t>化粪池</w:t>
            </w:r>
            <w:r>
              <w:rPr>
                <w:rFonts w:hint="default" w:ascii="Times New Roman" w:hAnsi="Times New Roman" w:cs="Times New Roman"/>
                <w:color w:val="auto"/>
                <w:sz w:val="24"/>
                <w:highlight w:val="none"/>
              </w:rPr>
              <w:t>池、</w:t>
            </w:r>
            <w:r>
              <w:rPr>
                <w:rFonts w:hint="eastAsia" w:cs="Times New Roman"/>
                <w:color w:val="auto"/>
                <w:sz w:val="24"/>
                <w:highlight w:val="none"/>
                <w:lang w:eastAsia="zh-CN"/>
              </w:rPr>
              <w:t>一体化污水处理设施</w:t>
            </w:r>
            <w:r>
              <w:rPr>
                <w:rFonts w:hint="default" w:ascii="Times New Roman" w:hAnsi="Times New Roman" w:cs="Times New Roman"/>
                <w:color w:val="auto"/>
                <w:sz w:val="24"/>
                <w:highlight w:val="none"/>
              </w:rPr>
              <w:t>等），污水处理系统污泥产生量参考《医院污水处理技术指南》（环发</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2003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197号）中“污水处理系统污泥产生量按85g/人﹒d计”，住院病人和陪护人员共计</w:t>
            </w:r>
            <w:r>
              <w:rPr>
                <w:rFonts w:hint="eastAsia" w:cs="Times New Roman"/>
                <w:color w:val="auto"/>
                <w:sz w:val="24"/>
                <w:highlight w:val="none"/>
                <w:lang w:val="en-US" w:eastAsia="zh-CN"/>
              </w:rPr>
              <w:t>210</w:t>
            </w:r>
            <w:r>
              <w:rPr>
                <w:rFonts w:hint="default" w:ascii="Times New Roman" w:hAnsi="Times New Roman" w:cs="Times New Roman"/>
                <w:color w:val="auto"/>
                <w:sz w:val="24"/>
                <w:highlight w:val="none"/>
              </w:rPr>
              <w:t>人/d，门诊高峰期就诊人数</w:t>
            </w:r>
            <w:r>
              <w:rPr>
                <w:rFonts w:hint="eastAsia" w:cs="Times New Roman"/>
                <w:color w:val="auto"/>
                <w:sz w:val="24"/>
                <w:highlight w:val="none"/>
                <w:lang w:val="en-US" w:eastAsia="zh-CN"/>
              </w:rPr>
              <w:t>100</w:t>
            </w:r>
            <w:r>
              <w:rPr>
                <w:rFonts w:hint="default" w:ascii="Times New Roman" w:hAnsi="Times New Roman" w:cs="Times New Roman"/>
                <w:color w:val="auto"/>
                <w:sz w:val="24"/>
                <w:highlight w:val="none"/>
              </w:rPr>
              <w:t>人次/天，医务人员</w:t>
            </w:r>
            <w:r>
              <w:rPr>
                <w:rFonts w:hint="eastAsia" w:cs="Times New Roman"/>
                <w:color w:val="auto"/>
                <w:sz w:val="24"/>
                <w:highlight w:val="none"/>
                <w:lang w:val="en-US" w:eastAsia="zh-CN"/>
              </w:rPr>
              <w:t>150</w:t>
            </w:r>
            <w:r>
              <w:rPr>
                <w:rFonts w:hint="default" w:ascii="Times New Roman" w:hAnsi="Times New Roman" w:cs="Times New Roman"/>
                <w:color w:val="auto"/>
                <w:sz w:val="24"/>
                <w:highlight w:val="none"/>
              </w:rPr>
              <w:t>人/天，则营运期污泥产生量为0.</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39</w:t>
            </w:r>
            <w:r>
              <w:rPr>
                <w:rFonts w:hint="default" w:ascii="Times New Roman" w:hAnsi="Times New Roman" w:cs="Times New Roman"/>
                <w:color w:val="auto"/>
                <w:sz w:val="24"/>
                <w:highlight w:val="none"/>
              </w:rPr>
              <w:t>t/d（</w:t>
            </w:r>
            <w:r>
              <w:rPr>
                <w:rFonts w:hint="eastAsia" w:cs="Times New Roman"/>
                <w:color w:val="auto"/>
                <w:sz w:val="24"/>
                <w:highlight w:val="none"/>
                <w:lang w:val="en-US" w:eastAsia="zh-CN"/>
              </w:rPr>
              <w:t>14.27</w:t>
            </w:r>
            <w:r>
              <w:rPr>
                <w:rFonts w:hint="default" w:ascii="Times New Roman" w:hAnsi="Times New Roman" w:cs="Times New Roman"/>
                <w:color w:val="auto"/>
                <w:sz w:val="24"/>
                <w:highlight w:val="none"/>
              </w:rPr>
              <w:t>t/a），列入</w:t>
            </w:r>
            <w:r>
              <w:rPr>
                <w:rFonts w:hint="default" w:ascii="Times New Roman" w:hAnsi="Times New Roman" w:cs="Times New Roman"/>
                <w:color w:val="auto"/>
                <w:kern w:val="0"/>
                <w:sz w:val="24"/>
                <w:highlight w:val="none"/>
              </w:rPr>
              <w:t>《医疗废物分类目录》（卫医发</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2003</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287号）中“感染性废物/其他被病人血液、体液、排泄物污染的物品”，</w:t>
            </w:r>
            <w:r>
              <w:rPr>
                <w:rFonts w:hint="default" w:ascii="Times New Roman" w:hAnsi="Times New Roman" w:cs="Times New Roman"/>
                <w:color w:val="auto"/>
                <w:sz w:val="24"/>
                <w:highlight w:val="none"/>
              </w:rPr>
              <w:t>属于《国家危险废物名录（2021年版）》中HW01医疗废物的“841-001-01感染性废物”，经消毒、脱水处理后，交由有资质单位处理。</w:t>
            </w:r>
          </w:p>
          <w:p>
            <w:pPr>
              <w:keepNext w:val="0"/>
              <w:keepLines w:val="0"/>
              <w:pageBreakBefore w:val="0"/>
              <w:wordWrap/>
              <w:topLinePunct w:val="0"/>
              <w:bidi w:val="0"/>
              <w:spacing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4）废紫外灯（HW49）</w:t>
            </w:r>
          </w:p>
          <w:p>
            <w:pPr>
              <w:keepNext w:val="0"/>
              <w:keepLines w:val="0"/>
              <w:pageBreakBefore w:val="0"/>
              <w:wordWrap/>
              <w:topLinePunct w:val="0"/>
              <w:bidi w:val="0"/>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项目医院诊疗室等区域消毒使用紫外灯消毒，产生量约为0.1t/a，更换下的废紫外灯作为危险废物</w:t>
            </w:r>
            <w:r>
              <w:rPr>
                <w:rFonts w:hint="default" w:ascii="Times New Roman" w:hAnsi="Times New Roman" w:cs="Times New Roman"/>
                <w:color w:val="auto"/>
                <w:sz w:val="24"/>
                <w:highlight w:val="none"/>
              </w:rPr>
              <w:t>交由有资质单位处置</w:t>
            </w:r>
            <w:r>
              <w:rPr>
                <w:rFonts w:hint="eastAsia" w:cs="Times New Roman"/>
                <w:color w:val="auto"/>
                <w:sz w:val="24"/>
                <w:highlight w:val="none"/>
                <w:lang w:eastAsia="zh-CN"/>
              </w:rPr>
              <w:t>。</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综上所述，项目固体废物污染源强及处置措施见下表：</w:t>
            </w:r>
            <w:r>
              <w:rPr>
                <w:rFonts w:hint="default" w:ascii="Times New Roman" w:hAnsi="Times New Roman" w:cs="Times New Roman"/>
                <w:color w:val="auto"/>
                <w:kern w:val="0"/>
                <w:sz w:val="24"/>
                <w:highlight w:val="none"/>
              </w:rPr>
              <w:t xml:space="preserve"> </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表4-1</w:t>
            </w:r>
            <w:r>
              <w:rPr>
                <w:rFonts w:hint="eastAsia" w:eastAsia="黑体" w:cs="Times New Roman"/>
                <w:color w:val="auto"/>
                <w:szCs w:val="21"/>
                <w:highlight w:val="none"/>
                <w:lang w:val="en-US" w:eastAsia="zh-CN"/>
              </w:rPr>
              <w:t>4</w:t>
            </w:r>
            <w:r>
              <w:rPr>
                <w:rFonts w:hint="default" w:ascii="Times New Roman" w:hAnsi="Times New Roman" w:eastAsia="黑体" w:cs="Times New Roman"/>
                <w:color w:val="auto"/>
                <w:szCs w:val="21"/>
                <w:highlight w:val="none"/>
              </w:rPr>
              <w:t xml:space="preserve">  固体废物源强及处置措施表    单位：t/a</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287"/>
              <w:gridCol w:w="813"/>
              <w:gridCol w:w="675"/>
              <w:gridCol w:w="1274"/>
              <w:gridCol w:w="851"/>
              <w:gridCol w:w="1113"/>
              <w:gridCol w:w="850"/>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2"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产生源</w:t>
                  </w:r>
                </w:p>
              </w:tc>
              <w:tc>
                <w:tcPr>
                  <w:tcW w:w="709"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固体废物名称</w:t>
                  </w:r>
                </w:p>
              </w:tc>
              <w:tc>
                <w:tcPr>
                  <w:tcW w:w="448"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废物代码</w:t>
                  </w:r>
                </w:p>
              </w:tc>
              <w:tc>
                <w:tcPr>
                  <w:tcW w:w="372"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固废属性</w:t>
                  </w:r>
                </w:p>
              </w:tc>
              <w:tc>
                <w:tcPr>
                  <w:tcW w:w="1171" w:type="pct"/>
                  <w:gridSpan w:val="2"/>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1081" w:type="pct"/>
                  <w:gridSpan w:val="2"/>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处置措施</w:t>
                  </w:r>
                </w:p>
              </w:tc>
              <w:tc>
                <w:tcPr>
                  <w:tcW w:w="733"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9"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448"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核算方法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处置量</w:t>
                  </w:r>
                </w:p>
              </w:tc>
              <w:tc>
                <w:tcPr>
                  <w:tcW w:w="73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44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900-999-99</w:t>
                  </w:r>
                </w:p>
              </w:tc>
              <w:tc>
                <w:tcPr>
                  <w:tcW w:w="372"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一般固废</w:t>
                  </w: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产污系数法+类比法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87.75</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委托利用</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87.75</w:t>
                  </w:r>
                </w:p>
              </w:tc>
              <w:tc>
                <w:tcPr>
                  <w:tcW w:w="7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食堂和隔油设施</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餐厨垃圾（含油水分离浮油）</w:t>
                  </w:r>
                </w:p>
              </w:tc>
              <w:tc>
                <w:tcPr>
                  <w:tcW w:w="44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900-999-99</w:t>
                  </w: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9.13</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委托利用</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9.13</w:t>
                  </w:r>
                </w:p>
              </w:tc>
              <w:tc>
                <w:tcPr>
                  <w:tcW w:w="733"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有餐厨垃圾处置资质单位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打针、输液等</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未感染的输液瓶（袋）</w:t>
                  </w:r>
                </w:p>
              </w:tc>
              <w:tc>
                <w:tcPr>
                  <w:tcW w:w="448" w:type="pct"/>
                  <w:noWrap w:val="0"/>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292-001-06</w:t>
                  </w: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委托利用</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733"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交由回收公司处理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药品包装</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废包装材料</w:t>
                  </w:r>
                </w:p>
              </w:tc>
              <w:tc>
                <w:tcPr>
                  <w:tcW w:w="448" w:type="pct"/>
                  <w:noWrap w:val="0"/>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220-001-04</w:t>
                  </w: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委托利用</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7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水处理系统</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废过滤材料</w:t>
                  </w:r>
                </w:p>
              </w:tc>
              <w:tc>
                <w:tcPr>
                  <w:tcW w:w="448" w:type="pct"/>
                  <w:noWrap w:val="0"/>
                  <w:vAlign w:val="center"/>
                </w:tcPr>
                <w:p>
                  <w:pPr>
                    <w:keepNext w:val="0"/>
                    <w:keepLines w:val="0"/>
                    <w:pageBreakBefore w:val="0"/>
                    <w:wordWrap/>
                    <w:topLinePunct w:val="0"/>
                    <w:bidi w:val="0"/>
                    <w:ind w:left="0" w:left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900-999-99</w:t>
                  </w: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类比法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1.53</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委托利用</w:t>
                  </w:r>
                </w:p>
              </w:tc>
              <w:tc>
                <w:tcPr>
                  <w:tcW w:w="468"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7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医院诊疗</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医疗废物</w:t>
                  </w:r>
                </w:p>
              </w:tc>
              <w:tc>
                <w:tcPr>
                  <w:tcW w:w="44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HW01</w:t>
                  </w:r>
                </w:p>
              </w:tc>
              <w:tc>
                <w:tcPr>
                  <w:tcW w:w="372"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w:t>
                  </w: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产污系数法+类比法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33.04</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33.04</w:t>
                  </w:r>
                </w:p>
              </w:tc>
              <w:tc>
                <w:tcPr>
                  <w:tcW w:w="733"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药房</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废药物、废药品</w:t>
                  </w:r>
                </w:p>
              </w:tc>
              <w:tc>
                <w:tcPr>
                  <w:tcW w:w="44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HW03</w:t>
                  </w: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73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污水处理系统</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污泥</w:t>
                  </w:r>
                </w:p>
              </w:tc>
              <w:tc>
                <w:tcPr>
                  <w:tcW w:w="44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HW01</w:t>
                  </w: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14.27</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14.27</w:t>
                  </w:r>
                </w:p>
              </w:tc>
              <w:tc>
                <w:tcPr>
                  <w:tcW w:w="73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8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医院诊疗</w:t>
                  </w:r>
                </w:p>
              </w:tc>
              <w:tc>
                <w:tcPr>
                  <w:tcW w:w="7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废紫外灯</w:t>
                  </w:r>
                </w:p>
              </w:tc>
              <w:tc>
                <w:tcPr>
                  <w:tcW w:w="44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HW49</w:t>
                  </w:r>
                </w:p>
              </w:tc>
              <w:tc>
                <w:tcPr>
                  <w:tcW w:w="372"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0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类比法</w:t>
                  </w:r>
                </w:p>
              </w:tc>
              <w:tc>
                <w:tcPr>
                  <w:tcW w:w="46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6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委托处置</w:t>
                  </w:r>
                </w:p>
              </w:tc>
              <w:tc>
                <w:tcPr>
                  <w:tcW w:w="468"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73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bl>
          <w:p>
            <w:pPr>
              <w:keepNext w:val="0"/>
              <w:keepLines w:val="0"/>
              <w:pageBreakBefore w:val="0"/>
              <w:wordWrap/>
              <w:topLinePunct w:val="0"/>
              <w:bidi w:val="0"/>
              <w:spacing w:line="360" w:lineRule="auto"/>
              <w:ind w:left="0" w:leftChars="0" w:firstLine="480" w:firstLineChars="200"/>
              <w:rPr>
                <w:color w:val="auto"/>
                <w:sz w:val="24"/>
                <w:highlight w:val="none"/>
              </w:rPr>
            </w:pPr>
            <w:r>
              <w:rPr>
                <w:rFonts w:ascii="宋体" w:hAnsi="宋体"/>
                <w:color w:val="auto"/>
                <w:sz w:val="24"/>
                <w:highlight w:val="none"/>
              </w:rPr>
              <w:t>根据《危险废物贮存污染控制标准（</w:t>
            </w:r>
            <w:r>
              <w:rPr>
                <w:color w:val="auto"/>
                <w:sz w:val="24"/>
                <w:highlight w:val="none"/>
              </w:rPr>
              <w:t>2013</w:t>
            </w:r>
            <w:r>
              <w:rPr>
                <w:rFonts w:ascii="宋体" w:hAnsi="宋体"/>
                <w:color w:val="auto"/>
                <w:sz w:val="24"/>
                <w:highlight w:val="none"/>
              </w:rPr>
              <w:t>年修订）》（</w:t>
            </w:r>
            <w:r>
              <w:rPr>
                <w:color w:val="auto"/>
                <w:sz w:val="24"/>
                <w:highlight w:val="none"/>
              </w:rPr>
              <w:t>GB12897-2001</w:t>
            </w:r>
            <w:r>
              <w:rPr>
                <w:rFonts w:ascii="宋体" w:hAnsi="宋体"/>
                <w:color w:val="auto"/>
                <w:sz w:val="24"/>
                <w:highlight w:val="none"/>
              </w:rPr>
              <w:t>）中有关要求，医疗废物和其他危险废物经分类收集后暂存其中，定期交由有资质单位处置，并签订危废处置协议，落实联单责任制。危废暂存</w:t>
            </w:r>
            <w:r>
              <w:rPr>
                <w:rFonts w:hint="eastAsia" w:ascii="宋体" w:hAnsi="宋体"/>
                <w:color w:val="auto"/>
                <w:sz w:val="24"/>
                <w:highlight w:val="none"/>
              </w:rPr>
              <w:t>间</w:t>
            </w:r>
            <w:r>
              <w:rPr>
                <w:rFonts w:ascii="宋体" w:hAnsi="宋体"/>
                <w:color w:val="auto"/>
                <w:sz w:val="24"/>
                <w:highlight w:val="none"/>
              </w:rPr>
              <w:t>需按照以下要求进行建设：</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a.</w:t>
            </w:r>
            <w:r>
              <w:rPr>
                <w:rFonts w:ascii="宋体" w:hAnsi="宋体"/>
                <w:color w:val="auto"/>
                <w:sz w:val="24"/>
                <w:highlight w:val="none"/>
              </w:rPr>
              <w:t>按照《危险废物贮存污染控制标准》（</w:t>
            </w:r>
            <w:r>
              <w:rPr>
                <w:color w:val="auto"/>
                <w:sz w:val="24"/>
                <w:highlight w:val="none"/>
              </w:rPr>
              <w:t>GB12897-2001</w:t>
            </w:r>
            <w:r>
              <w:rPr>
                <w:rFonts w:ascii="宋体" w:hAnsi="宋体"/>
                <w:color w:val="auto"/>
                <w:sz w:val="24"/>
                <w:highlight w:val="none"/>
              </w:rPr>
              <w:t>）及修改清单设计要求，设置防渗层，采取防渗混凝土</w:t>
            </w:r>
            <w:r>
              <w:rPr>
                <w:color w:val="auto"/>
                <w:sz w:val="24"/>
                <w:highlight w:val="none"/>
              </w:rPr>
              <w:t>+2mm</w:t>
            </w:r>
            <w:r>
              <w:rPr>
                <w:rFonts w:ascii="宋体" w:hAnsi="宋体"/>
                <w:color w:val="auto"/>
                <w:sz w:val="24"/>
                <w:highlight w:val="none"/>
              </w:rPr>
              <w:t>厚</w:t>
            </w:r>
            <w:r>
              <w:rPr>
                <w:color w:val="auto"/>
                <w:sz w:val="24"/>
                <w:highlight w:val="none"/>
              </w:rPr>
              <w:t>HDPE</w:t>
            </w:r>
            <w:r>
              <w:rPr>
                <w:rFonts w:ascii="宋体" w:hAnsi="宋体"/>
                <w:color w:val="auto"/>
                <w:sz w:val="24"/>
                <w:highlight w:val="none"/>
              </w:rPr>
              <w:t>防渗层进行防渗、防腐处理，确保防渗系数</w:t>
            </w:r>
            <w:r>
              <w:rPr>
                <w:color w:val="auto"/>
                <w:sz w:val="24"/>
                <w:highlight w:val="none"/>
              </w:rPr>
              <w:t>K≤1×10</w:t>
            </w:r>
            <w:r>
              <w:rPr>
                <w:color w:val="auto"/>
                <w:sz w:val="24"/>
                <w:highlight w:val="none"/>
                <w:vertAlign w:val="superscript"/>
              </w:rPr>
              <w:t>-10</w:t>
            </w:r>
            <w:r>
              <w:rPr>
                <w:color w:val="auto"/>
                <w:sz w:val="24"/>
                <w:highlight w:val="none"/>
              </w:rPr>
              <w:t>cm/s</w:t>
            </w:r>
            <w:r>
              <w:rPr>
                <w:rFonts w:ascii="宋体" w:hAnsi="宋体"/>
                <w:color w:val="auto"/>
                <w:sz w:val="24"/>
                <w:highlight w:val="none"/>
              </w:rPr>
              <w:t>，并严格做好</w:t>
            </w:r>
            <w:r>
              <w:rPr>
                <w:color w:val="auto"/>
                <w:sz w:val="24"/>
                <w:highlight w:val="none"/>
              </w:rPr>
              <w:t>“</w:t>
            </w:r>
            <w:r>
              <w:rPr>
                <w:rFonts w:ascii="宋体" w:hAnsi="宋体"/>
                <w:color w:val="auto"/>
                <w:sz w:val="24"/>
                <w:highlight w:val="none"/>
              </w:rPr>
              <w:t>防风、防雨、防晒、防渗漏</w:t>
            </w:r>
            <w:r>
              <w:rPr>
                <w:color w:val="auto"/>
                <w:sz w:val="24"/>
                <w:highlight w:val="none"/>
              </w:rPr>
              <w:t>”</w:t>
            </w:r>
            <w:r>
              <w:rPr>
                <w:rFonts w:ascii="宋体" w:hAnsi="宋体"/>
                <w:color w:val="auto"/>
                <w:sz w:val="24"/>
                <w:highlight w:val="none"/>
              </w:rPr>
              <w:t>措施，防止造成地下水污染。</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b.</w:t>
            </w:r>
            <w:r>
              <w:rPr>
                <w:rFonts w:ascii="宋体" w:hAnsi="宋体"/>
                <w:color w:val="auto"/>
                <w:sz w:val="24"/>
                <w:highlight w:val="none"/>
              </w:rPr>
              <w:t>危险废物的收集必须按照相关规定进行，禁止在非贮存地点（容器）倾倒、堆放危险废物或者将危险废物混入其他一般工业固体废物和生活垃圾，各废物贮存需按照国家相应要求处置，贮存场所按照《环境保护图形标志</w:t>
            </w:r>
            <w:r>
              <w:rPr>
                <w:color w:val="auto"/>
                <w:sz w:val="24"/>
                <w:highlight w:val="none"/>
              </w:rPr>
              <w:t>——</w:t>
            </w:r>
            <w:r>
              <w:rPr>
                <w:rFonts w:ascii="宋体" w:hAnsi="宋体"/>
                <w:color w:val="auto"/>
                <w:sz w:val="24"/>
                <w:highlight w:val="none"/>
              </w:rPr>
              <w:t>固体废物贮存（处置）场》（</w:t>
            </w:r>
            <w:r>
              <w:rPr>
                <w:color w:val="auto"/>
                <w:sz w:val="24"/>
                <w:highlight w:val="none"/>
              </w:rPr>
              <w:t>GB15562.2-1995</w:t>
            </w:r>
            <w:r>
              <w:rPr>
                <w:rFonts w:ascii="宋体" w:hAnsi="宋体"/>
                <w:color w:val="auto"/>
                <w:sz w:val="24"/>
                <w:highlight w:val="none"/>
              </w:rPr>
              <w:t>）设置警示标识。</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c.</w:t>
            </w:r>
            <w:r>
              <w:rPr>
                <w:rFonts w:ascii="宋体" w:hAnsi="宋体"/>
                <w:color w:val="auto"/>
                <w:sz w:val="24"/>
                <w:highlight w:val="none"/>
              </w:rPr>
              <w:t>危险废物转运时必须安全转移，防止撒漏，且由具处理危废资质的单位接手。危险废物的处置需严格按照《危险废物转移联单管理办法》规定。</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highlight w:val="none"/>
              </w:rPr>
              <w:t>本项目医疗废物暂存间基本情况见表4-1</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，危险废物处置措施见表4-1</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p>
          <w:p>
            <w:pPr>
              <w:pStyle w:val="39"/>
              <w:keepNext w:val="0"/>
              <w:keepLines w:val="0"/>
              <w:pageBreakBefore w:val="0"/>
              <w:wordWrap/>
              <w:topLinePunct w:val="0"/>
              <w:autoSpaceDE w:val="0"/>
              <w:autoSpaceDN w:val="0"/>
              <w:bidi w:val="0"/>
              <w:ind w:left="0" w:leftChars="0" w:firstLine="0" w:firstLine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表4-1</w:t>
            </w:r>
            <w:r>
              <w:rPr>
                <w:rFonts w:hint="eastAsia" w:eastAsia="黑体" w:cs="Times New Roman"/>
                <w:color w:val="auto"/>
                <w:szCs w:val="21"/>
                <w:highlight w:val="none"/>
                <w:lang w:val="en-US" w:eastAsia="zh-CN"/>
              </w:rPr>
              <w:t>5</w:t>
            </w:r>
            <w:r>
              <w:rPr>
                <w:rFonts w:hint="default" w:ascii="Times New Roman" w:hAnsi="Times New Roman" w:eastAsia="黑体" w:cs="Times New Roman"/>
                <w:color w:val="auto"/>
                <w:szCs w:val="21"/>
                <w:highlight w:val="none"/>
              </w:rPr>
              <w:t xml:space="preserve">  危险废物贮存场所基本情况一览表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968"/>
              <w:gridCol w:w="1337"/>
              <w:gridCol w:w="1103"/>
              <w:gridCol w:w="1113"/>
              <w:gridCol w:w="787"/>
              <w:gridCol w:w="663"/>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危险废物名称</w:t>
                  </w:r>
                </w:p>
              </w:tc>
              <w:tc>
                <w:tcPr>
                  <w:tcW w:w="53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危险废物类别</w:t>
                  </w: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危险废物代码</w:t>
                  </w:r>
                </w:p>
              </w:tc>
              <w:tc>
                <w:tcPr>
                  <w:tcW w:w="607"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位置</w:t>
                  </w:r>
                </w:p>
              </w:tc>
              <w:tc>
                <w:tcPr>
                  <w:tcW w:w="61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占地</w:t>
                  </w:r>
                </w:p>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面积</w:t>
                  </w:r>
                </w:p>
              </w:tc>
              <w:tc>
                <w:tcPr>
                  <w:tcW w:w="43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贮存方式</w:t>
                  </w:r>
                </w:p>
              </w:tc>
              <w:tc>
                <w:tcPr>
                  <w:tcW w:w="365"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贮存</w:t>
                  </w:r>
                </w:p>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能力</w:t>
                  </w:r>
                </w:p>
              </w:tc>
              <w:tc>
                <w:tcPr>
                  <w:tcW w:w="1057"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50" w:type="pct"/>
                  <w:vMerge w:val="restar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医疗废物</w:t>
                  </w:r>
                </w:p>
              </w:tc>
              <w:tc>
                <w:tcPr>
                  <w:tcW w:w="533" w:type="pct"/>
                  <w:vMerge w:val="restar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HW01</w:t>
                  </w: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841-001-01</w:t>
                  </w:r>
                </w:p>
              </w:tc>
              <w:tc>
                <w:tcPr>
                  <w:tcW w:w="607"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医疗废物暂存间</w:t>
                  </w:r>
                </w:p>
              </w:tc>
              <w:tc>
                <w:tcPr>
                  <w:tcW w:w="613"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r>
                    <w:rPr>
                      <w:rFonts w:hint="eastAsia" w:cs="Times New Roman"/>
                      <w:color w:val="auto"/>
                      <w:highlight w:val="none"/>
                      <w:lang w:val="en-US" w:eastAsia="zh-CN"/>
                    </w:rPr>
                    <w:t>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tc>
              <w:tc>
                <w:tcPr>
                  <w:tcW w:w="433" w:type="pct"/>
                  <w:vMerge w:val="restar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密封桶装</w:t>
                  </w:r>
                </w:p>
              </w:tc>
              <w:tc>
                <w:tcPr>
                  <w:tcW w:w="365" w:type="pct"/>
                  <w:vMerge w:val="restar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eastAsia" w:cs="Times New Roman"/>
                      <w:color w:val="auto"/>
                      <w:highlight w:val="none"/>
                      <w:lang w:val="en-US" w:eastAsia="zh-CN"/>
                    </w:rPr>
                    <w:t>1.0</w:t>
                  </w:r>
                  <w:r>
                    <w:rPr>
                      <w:rFonts w:hint="default" w:ascii="Times New Roman" w:hAnsi="Times New Roman" w:cs="Times New Roman"/>
                      <w:color w:val="auto"/>
                      <w:highlight w:val="none"/>
                    </w:rPr>
                    <w:t>t</w:t>
                  </w:r>
                </w:p>
              </w:tc>
              <w:tc>
                <w:tcPr>
                  <w:tcW w:w="1057" w:type="pct"/>
                  <w:vMerge w:val="restar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5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841-002-01</w:t>
                  </w:r>
                </w:p>
              </w:tc>
              <w:tc>
                <w:tcPr>
                  <w:tcW w:w="60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61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4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365"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1057"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50"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5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841-00</w:t>
                  </w:r>
                  <w:r>
                    <w:rPr>
                      <w:rFonts w:hint="eastAsia" w:cs="Times New Roman"/>
                      <w:color w:val="auto"/>
                      <w:highlight w:val="none"/>
                      <w:lang w:val="en-US" w:eastAsia="zh-CN"/>
                    </w:rPr>
                    <w:t>3</w:t>
                  </w:r>
                  <w:r>
                    <w:rPr>
                      <w:rFonts w:hint="default" w:ascii="Times New Roman" w:hAnsi="Times New Roman" w:cs="Times New Roman"/>
                      <w:color w:val="auto"/>
                      <w:highlight w:val="none"/>
                    </w:rPr>
                    <w:t>-01</w:t>
                  </w:r>
                </w:p>
              </w:tc>
              <w:tc>
                <w:tcPr>
                  <w:tcW w:w="60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61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4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365"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1057"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5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841-004-01</w:t>
                  </w:r>
                </w:p>
              </w:tc>
              <w:tc>
                <w:tcPr>
                  <w:tcW w:w="60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61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4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365"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1057"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5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841-00</w:t>
                  </w:r>
                  <w:r>
                    <w:rPr>
                      <w:rFonts w:hint="eastAsia" w:cs="Times New Roman"/>
                      <w:color w:val="auto"/>
                      <w:highlight w:val="none"/>
                      <w:lang w:val="en-US" w:eastAsia="zh-CN"/>
                    </w:rPr>
                    <w:t>5</w:t>
                  </w:r>
                  <w:r>
                    <w:rPr>
                      <w:rFonts w:hint="default" w:ascii="Times New Roman" w:hAnsi="Times New Roman" w:cs="Times New Roman"/>
                      <w:color w:val="auto"/>
                      <w:highlight w:val="none"/>
                    </w:rPr>
                    <w:t>-01</w:t>
                  </w:r>
                </w:p>
              </w:tc>
              <w:tc>
                <w:tcPr>
                  <w:tcW w:w="60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61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highlight w:val="none"/>
                    </w:rPr>
                  </w:pPr>
                </w:p>
              </w:tc>
              <w:tc>
                <w:tcPr>
                  <w:tcW w:w="433"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365"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c>
                <w:tcPr>
                  <w:tcW w:w="1057" w:type="pct"/>
                  <w:vMerge w:val="continue"/>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pPr>
                    <w:keepNext w:val="0"/>
                    <w:keepLines w:val="0"/>
                    <w:pageBreakBefore w:val="0"/>
                    <w:wordWrap/>
                    <w:topLinePunct w:val="0"/>
                    <w:autoSpaceDE w:val="0"/>
                    <w:autoSpaceDN w:val="0"/>
                    <w:bidi w:val="0"/>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废药品</w:t>
                  </w:r>
                </w:p>
              </w:tc>
              <w:tc>
                <w:tcPr>
                  <w:tcW w:w="53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H</w:t>
                  </w:r>
                  <w:r>
                    <w:rPr>
                      <w:color w:val="auto"/>
                      <w:sz w:val="21"/>
                      <w:szCs w:val="21"/>
                      <w:highlight w:val="none"/>
                    </w:rPr>
                    <w:t>W03</w:t>
                  </w: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900-002-03</w:t>
                  </w:r>
                </w:p>
              </w:tc>
              <w:tc>
                <w:tcPr>
                  <w:tcW w:w="607" w:type="pct"/>
                  <w:vMerge w:val="continue"/>
                  <w:vAlign w:val="center"/>
                </w:tcPr>
                <w:p>
                  <w:pPr>
                    <w:keepNext w:val="0"/>
                    <w:keepLines w:val="0"/>
                    <w:pageBreakBefore w:val="0"/>
                    <w:widowControl/>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613" w:type="pct"/>
                  <w:vMerge w:val="continue"/>
                  <w:vAlign w:val="center"/>
                </w:tcPr>
                <w:p>
                  <w:pPr>
                    <w:keepNext w:val="0"/>
                    <w:keepLines w:val="0"/>
                    <w:pageBreakBefore w:val="0"/>
                    <w:widowControl/>
                    <w:wordWrap/>
                    <w:topLinePunct w:val="0"/>
                    <w:bidi w:val="0"/>
                    <w:ind w:left="0" w:leftChars="0"/>
                    <w:jc w:val="center"/>
                    <w:rPr>
                      <w:rFonts w:hint="default" w:ascii="Times New Roman" w:hAnsi="Times New Roman" w:cs="Times New Roman"/>
                      <w:color w:val="auto"/>
                      <w:highlight w:val="none"/>
                    </w:rPr>
                  </w:pPr>
                </w:p>
              </w:tc>
              <w:tc>
                <w:tcPr>
                  <w:tcW w:w="43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分类包装</w:t>
                  </w:r>
                </w:p>
              </w:tc>
              <w:tc>
                <w:tcPr>
                  <w:tcW w:w="365"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t</w:t>
                  </w:r>
                </w:p>
              </w:tc>
              <w:tc>
                <w:tcPr>
                  <w:tcW w:w="1057"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废紫外灯</w:t>
                  </w:r>
                </w:p>
              </w:tc>
              <w:tc>
                <w:tcPr>
                  <w:tcW w:w="533"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HW49</w:t>
                  </w: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900-023-29</w:t>
                  </w:r>
                </w:p>
              </w:tc>
              <w:tc>
                <w:tcPr>
                  <w:tcW w:w="607" w:type="pct"/>
                  <w:vMerge w:val="continue"/>
                  <w:vAlign w:val="center"/>
                </w:tcPr>
                <w:p>
                  <w:pPr>
                    <w:keepNext w:val="0"/>
                    <w:keepLines w:val="0"/>
                    <w:pageBreakBefore w:val="0"/>
                    <w:widowControl/>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613" w:type="pct"/>
                  <w:vMerge w:val="continue"/>
                  <w:vAlign w:val="center"/>
                </w:tcPr>
                <w:p>
                  <w:pPr>
                    <w:keepNext w:val="0"/>
                    <w:keepLines w:val="0"/>
                    <w:pageBreakBefore w:val="0"/>
                    <w:widowControl/>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43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袋装</w:t>
                  </w:r>
                </w:p>
              </w:tc>
              <w:tc>
                <w:tcPr>
                  <w:tcW w:w="365"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0.1t</w:t>
                  </w:r>
                </w:p>
              </w:tc>
              <w:tc>
                <w:tcPr>
                  <w:tcW w:w="1057"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pPr>
                    <w:keepNext w:val="0"/>
                    <w:keepLines w:val="0"/>
                    <w:pageBreakBefore w:val="0"/>
                    <w:wordWrap/>
                    <w:topLinePunct w:val="0"/>
                    <w:autoSpaceDE w:val="0"/>
                    <w:autoSpaceDN w:val="0"/>
                    <w:bidi w:val="0"/>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eastAsia="zh-CN"/>
                    </w:rPr>
                    <w:t>污泥</w:t>
                  </w:r>
                </w:p>
              </w:tc>
              <w:tc>
                <w:tcPr>
                  <w:tcW w:w="53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HW01</w:t>
                  </w:r>
                </w:p>
              </w:tc>
              <w:tc>
                <w:tcPr>
                  <w:tcW w:w="73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841-001-01</w:t>
                  </w:r>
                </w:p>
              </w:tc>
              <w:tc>
                <w:tcPr>
                  <w:tcW w:w="607" w:type="pct"/>
                  <w:vAlign w:val="center"/>
                </w:tcPr>
                <w:p>
                  <w:pPr>
                    <w:keepNext w:val="0"/>
                    <w:keepLines w:val="0"/>
                    <w:pageBreakBefore w:val="0"/>
                    <w:widowControl/>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w:t>
                  </w:r>
                </w:p>
              </w:tc>
              <w:tc>
                <w:tcPr>
                  <w:tcW w:w="613" w:type="pct"/>
                  <w:vAlign w:val="center"/>
                </w:tcPr>
                <w:p>
                  <w:pPr>
                    <w:keepNext w:val="0"/>
                    <w:keepLines w:val="0"/>
                    <w:pageBreakBefore w:val="0"/>
                    <w:widowControl/>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w:t>
                  </w:r>
                </w:p>
              </w:tc>
              <w:tc>
                <w:tcPr>
                  <w:tcW w:w="433"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密闭桶装</w:t>
                  </w:r>
                </w:p>
              </w:tc>
              <w:tc>
                <w:tcPr>
                  <w:tcW w:w="365"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w:t>
                  </w:r>
                </w:p>
              </w:tc>
              <w:tc>
                <w:tcPr>
                  <w:tcW w:w="1057"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定期清掏后直接运走，不在</w:t>
                  </w:r>
                  <w:r>
                    <w:rPr>
                      <w:rFonts w:hint="eastAsia" w:ascii="Times New Roman" w:hAnsi="Times New Roman" w:cs="Times New Roman"/>
                      <w:color w:val="auto"/>
                      <w:highlight w:val="none"/>
                      <w:lang w:val="en-US" w:eastAsia="zh-CN"/>
                    </w:rPr>
                    <w:t>院</w:t>
                  </w:r>
                  <w:r>
                    <w:rPr>
                      <w:rFonts w:hint="default" w:ascii="Times New Roman" w:hAnsi="Times New Roman" w:cs="Times New Roman"/>
                      <w:color w:val="auto"/>
                      <w:highlight w:val="none"/>
                    </w:rPr>
                    <w:t>内暂存</w:t>
                  </w:r>
                </w:p>
              </w:tc>
            </w:tr>
          </w:tbl>
          <w:p>
            <w:pPr>
              <w:keepNext w:val="0"/>
              <w:keepLines w:val="0"/>
              <w:pageBreakBefore w:val="0"/>
              <w:wordWrap/>
              <w:topLinePunct w:val="0"/>
              <w:bidi w:val="0"/>
              <w:ind w:left="0" w:leftChars="0"/>
              <w:jc w:val="center"/>
              <w:rPr>
                <w:rFonts w:hint="default" w:ascii="Times New Roman" w:hAnsi="Times New Roman" w:eastAsia="黑体" w:cs="Times New Roman"/>
                <w:color w:val="auto"/>
                <w:highlight w:val="none"/>
              </w:rPr>
            </w:pPr>
          </w:p>
          <w:p>
            <w:pPr>
              <w:keepNext w:val="0"/>
              <w:keepLines w:val="0"/>
              <w:pageBreakBefore w:val="0"/>
              <w:wordWrap/>
              <w:topLinePunct w:val="0"/>
              <w:bidi w:val="0"/>
              <w:ind w:left="0" w:leftChars="0"/>
              <w:jc w:val="center"/>
              <w:rPr>
                <w:rFonts w:hint="default" w:ascii="Times New Roman" w:hAnsi="Times New Roman" w:eastAsia="黑体" w:cs="Times New Roman"/>
                <w:color w:val="auto"/>
                <w:highlight w:val="none"/>
              </w:rPr>
            </w:pPr>
          </w:p>
          <w:p>
            <w:pPr>
              <w:keepNext w:val="0"/>
              <w:keepLines w:val="0"/>
              <w:pageBreakBefore w:val="0"/>
              <w:wordWrap/>
              <w:topLinePunct w:val="0"/>
              <w:bidi w:val="0"/>
              <w:ind w:left="0" w:leftChars="0"/>
              <w:jc w:val="center"/>
              <w:rPr>
                <w:rFonts w:hint="default" w:ascii="Times New Roman" w:hAnsi="Times New Roman" w:eastAsia="黑体" w:cs="Times New Roman"/>
                <w:color w:val="auto"/>
                <w:highlight w:val="none"/>
              </w:rPr>
            </w:pPr>
          </w:p>
          <w:p>
            <w:pPr>
              <w:keepNext w:val="0"/>
              <w:keepLines w:val="0"/>
              <w:pageBreakBefore w:val="0"/>
              <w:wordWrap/>
              <w:topLinePunct w:val="0"/>
              <w:bidi w:val="0"/>
              <w:ind w:left="0" w:leftChars="0"/>
              <w:jc w:val="center"/>
              <w:rPr>
                <w:rFonts w:hint="default" w:ascii="Times New Roman" w:hAnsi="Times New Roman" w:eastAsia="黑体" w:cs="Times New Roman"/>
                <w:color w:val="auto"/>
                <w:highlight w:val="none"/>
              </w:rPr>
            </w:pPr>
          </w:p>
          <w:p>
            <w:pPr>
              <w:keepNext w:val="0"/>
              <w:keepLines w:val="0"/>
              <w:pageBreakBefore w:val="0"/>
              <w:wordWrap/>
              <w:topLinePunct w:val="0"/>
              <w:bidi w:val="0"/>
              <w:ind w:left="0" w:left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表4-1</w:t>
            </w:r>
            <w:r>
              <w:rPr>
                <w:rFonts w:hint="eastAsia" w:eastAsia="黑体" w:cs="Times New Roman"/>
                <w:color w:val="auto"/>
                <w:highlight w:val="none"/>
                <w:lang w:val="en-US" w:eastAsia="zh-CN"/>
              </w:rPr>
              <w:t>6</w:t>
            </w:r>
            <w:r>
              <w:rPr>
                <w:rFonts w:hint="default" w:ascii="Times New Roman" w:hAnsi="Times New Roman" w:eastAsia="黑体" w:cs="Times New Roman"/>
                <w:color w:val="auto"/>
                <w:highlight w:val="none"/>
              </w:rPr>
              <w:t xml:space="preserve">  危险废物治理措施一览表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73"/>
              <w:gridCol w:w="737"/>
              <w:gridCol w:w="1255"/>
              <w:gridCol w:w="804"/>
              <w:gridCol w:w="901"/>
              <w:gridCol w:w="559"/>
              <w:gridCol w:w="804"/>
              <w:gridCol w:w="777"/>
              <w:gridCol w:w="654"/>
              <w:gridCol w:w="642"/>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9"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481"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危险废物名称</w:t>
                  </w:r>
                </w:p>
              </w:tc>
              <w:tc>
                <w:tcPr>
                  <w:tcW w:w="406"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危险废物类别</w:t>
                  </w:r>
                </w:p>
              </w:tc>
              <w:tc>
                <w:tcPr>
                  <w:tcW w:w="691"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危险废物代码</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产生量（t/a）</w:t>
                  </w:r>
                </w:p>
              </w:tc>
              <w:tc>
                <w:tcPr>
                  <w:tcW w:w="496"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产生工序及装置</w:t>
                  </w:r>
                </w:p>
              </w:tc>
              <w:tc>
                <w:tcPr>
                  <w:tcW w:w="308"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形态</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w:t>
                  </w:r>
                </w:p>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成分</w:t>
                  </w:r>
                </w:p>
              </w:tc>
              <w:tc>
                <w:tcPr>
                  <w:tcW w:w="428"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有害</w:t>
                  </w:r>
                </w:p>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成分</w:t>
                  </w: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产废周期</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危险特性</w:t>
                  </w:r>
                </w:p>
              </w:tc>
              <w:tc>
                <w:tcPr>
                  <w:tcW w:w="357" w:type="pct"/>
                  <w:vAlign w:val="center"/>
                </w:tcPr>
                <w:p>
                  <w:pPr>
                    <w:keepNext w:val="0"/>
                    <w:keepLines w:val="0"/>
                    <w:pageBreakBefore w:val="0"/>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29"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1"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医疗废物</w:t>
                  </w:r>
                </w:p>
              </w:tc>
              <w:tc>
                <w:tcPr>
                  <w:tcW w:w="406"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HW01</w:t>
                  </w:r>
                </w:p>
              </w:tc>
              <w:tc>
                <w:tcPr>
                  <w:tcW w:w="69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841-001-01</w:t>
                  </w:r>
                </w:p>
              </w:tc>
              <w:tc>
                <w:tcPr>
                  <w:tcW w:w="443" w:type="pct"/>
                  <w:vMerge w:val="restar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33.04</w:t>
                  </w:r>
                </w:p>
              </w:tc>
              <w:tc>
                <w:tcPr>
                  <w:tcW w:w="496"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门诊、病房、检验科等</w:t>
                  </w:r>
                </w:p>
              </w:tc>
              <w:tc>
                <w:tcPr>
                  <w:tcW w:w="308"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固/液态</w:t>
                  </w:r>
                </w:p>
              </w:tc>
              <w:tc>
                <w:tcPr>
                  <w:tcW w:w="443" w:type="pct"/>
                  <w:vMerge w:val="restart"/>
                  <w:vAlign w:val="center"/>
                </w:tcPr>
                <w:p>
                  <w:pPr>
                    <w:keepNext w:val="0"/>
                    <w:keepLines w:val="0"/>
                    <w:pageBreakBefore w:val="0"/>
                    <w:wordWrap/>
                    <w:topLinePunct w:val="0"/>
                    <w:bidi w:val="0"/>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棉签、纱布、血液、针头</w:t>
                  </w:r>
                </w:p>
                <w:p>
                  <w:pPr>
                    <w:keepNext w:val="0"/>
                    <w:keepLines w:val="0"/>
                    <w:pageBreakBefore w:val="0"/>
                    <w:wordWrap/>
                    <w:topLinePunct w:val="0"/>
                    <w:bidi w:val="0"/>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w:t>
                  </w:r>
                </w:p>
              </w:tc>
              <w:tc>
                <w:tcPr>
                  <w:tcW w:w="428" w:type="pct"/>
                  <w:vMerge w:val="restart"/>
                  <w:vAlign w:val="center"/>
                </w:tcPr>
                <w:p>
                  <w:pPr>
                    <w:keepNext w:val="0"/>
                    <w:keepLines w:val="0"/>
                    <w:pageBreakBefore w:val="0"/>
                    <w:wordWrap/>
                    <w:topLinePunct w:val="0"/>
                    <w:bidi w:val="0"/>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棉签、纱布、血液、针头</w:t>
                  </w:r>
                </w:p>
                <w:p>
                  <w:pPr>
                    <w:keepNext w:val="0"/>
                    <w:keepLines w:val="0"/>
                    <w:pageBreakBefore w:val="0"/>
                    <w:wordWrap/>
                    <w:topLinePunct w:val="0"/>
                    <w:bidi w:val="0"/>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w:t>
                  </w: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每天</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In</w:t>
                  </w:r>
                </w:p>
              </w:tc>
              <w:tc>
                <w:tcPr>
                  <w:tcW w:w="357" w:type="pct"/>
                  <w:vMerge w:val="restar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作为危险废物交由有资质单位处置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81"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0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69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841-002-01</w:t>
                  </w: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9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0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2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每天</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In</w:t>
                  </w:r>
                </w:p>
              </w:tc>
              <w:tc>
                <w:tcPr>
                  <w:tcW w:w="35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81"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0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69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841-003-01</w:t>
                  </w: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9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0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2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每天</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In</w:t>
                  </w:r>
                </w:p>
              </w:tc>
              <w:tc>
                <w:tcPr>
                  <w:tcW w:w="35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81"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0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69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841-004-01</w:t>
                  </w: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9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0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2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每天</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T</w:t>
                  </w:r>
                </w:p>
              </w:tc>
              <w:tc>
                <w:tcPr>
                  <w:tcW w:w="35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81"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0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69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841-005-01</w:t>
                  </w: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96"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0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43"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428"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每天</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T</w:t>
                  </w:r>
                </w:p>
              </w:tc>
              <w:tc>
                <w:tcPr>
                  <w:tcW w:w="35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29"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48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废药品</w:t>
                  </w:r>
                </w:p>
              </w:tc>
              <w:tc>
                <w:tcPr>
                  <w:tcW w:w="406"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H</w:t>
                  </w:r>
                  <w:r>
                    <w:rPr>
                      <w:color w:val="auto"/>
                      <w:sz w:val="21"/>
                      <w:szCs w:val="21"/>
                      <w:highlight w:val="none"/>
                    </w:rPr>
                    <w:t>W03</w:t>
                  </w:r>
                </w:p>
              </w:tc>
              <w:tc>
                <w:tcPr>
                  <w:tcW w:w="69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900-002-03</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5</w:t>
                  </w:r>
                </w:p>
              </w:tc>
              <w:tc>
                <w:tcPr>
                  <w:tcW w:w="496"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药房</w:t>
                  </w:r>
                </w:p>
              </w:tc>
              <w:tc>
                <w:tcPr>
                  <w:tcW w:w="308"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固</w:t>
                  </w:r>
                  <w:r>
                    <w:rPr>
                      <w:rFonts w:hint="eastAsia"/>
                      <w:color w:val="auto"/>
                      <w:sz w:val="21"/>
                      <w:szCs w:val="21"/>
                      <w:highlight w:val="none"/>
                    </w:rPr>
                    <w:t>/</w:t>
                  </w:r>
                  <w:r>
                    <w:rPr>
                      <w:color w:val="auto"/>
                      <w:sz w:val="21"/>
                      <w:szCs w:val="21"/>
                      <w:highlight w:val="none"/>
                    </w:rPr>
                    <w:t>液态</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西药</w:t>
                  </w:r>
                  <w:r>
                    <w:rPr>
                      <w:rFonts w:hint="eastAsia"/>
                      <w:color w:val="auto"/>
                      <w:sz w:val="21"/>
                      <w:szCs w:val="21"/>
                      <w:highlight w:val="none"/>
                    </w:rPr>
                    <w:t>、</w:t>
                  </w:r>
                  <w:r>
                    <w:rPr>
                      <w:color w:val="auto"/>
                      <w:sz w:val="21"/>
                      <w:szCs w:val="21"/>
                      <w:highlight w:val="none"/>
                    </w:rPr>
                    <w:t>中药等</w:t>
                  </w:r>
                </w:p>
              </w:tc>
              <w:tc>
                <w:tcPr>
                  <w:tcW w:w="428"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废化学药品等</w:t>
                  </w: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color w:val="auto"/>
                      <w:sz w:val="21"/>
                      <w:szCs w:val="21"/>
                      <w:highlight w:val="none"/>
                    </w:rPr>
                    <w:t>每六个月</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eastAsia"/>
                      <w:color w:val="auto"/>
                      <w:sz w:val="21"/>
                      <w:szCs w:val="21"/>
                      <w:highlight w:val="none"/>
                    </w:rPr>
                    <w:t>T</w:t>
                  </w:r>
                </w:p>
              </w:tc>
              <w:tc>
                <w:tcPr>
                  <w:tcW w:w="35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w:t>
                  </w:r>
                </w:p>
              </w:tc>
              <w:tc>
                <w:tcPr>
                  <w:tcW w:w="481"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污泥</w:t>
                  </w:r>
                </w:p>
              </w:tc>
              <w:tc>
                <w:tcPr>
                  <w:tcW w:w="406"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HW01</w:t>
                  </w:r>
                </w:p>
              </w:tc>
              <w:tc>
                <w:tcPr>
                  <w:tcW w:w="691"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841-001-01</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14.27</w:t>
                  </w:r>
                </w:p>
              </w:tc>
              <w:tc>
                <w:tcPr>
                  <w:tcW w:w="496"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污水处理系统</w:t>
                  </w:r>
                </w:p>
              </w:tc>
              <w:tc>
                <w:tcPr>
                  <w:tcW w:w="308"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含病原菌污泥</w:t>
                  </w:r>
                </w:p>
              </w:tc>
              <w:tc>
                <w:tcPr>
                  <w:tcW w:w="428"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含病原菌污泥</w:t>
                  </w: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每月</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In</w:t>
                  </w:r>
                </w:p>
              </w:tc>
              <w:tc>
                <w:tcPr>
                  <w:tcW w:w="35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Align w:val="center"/>
                </w:tcPr>
                <w:p>
                  <w:pPr>
                    <w:keepNext w:val="0"/>
                    <w:keepLines w:val="0"/>
                    <w:pageBreakBefore w:val="0"/>
                    <w:wordWrap/>
                    <w:topLinePunct w:val="0"/>
                    <w:bidi w:val="0"/>
                    <w:ind w:left="0" w:lef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481"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废紫外灯</w:t>
                  </w:r>
                </w:p>
              </w:tc>
              <w:tc>
                <w:tcPr>
                  <w:tcW w:w="406" w:type="pct"/>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HW49</w:t>
                  </w:r>
                </w:p>
              </w:tc>
              <w:tc>
                <w:tcPr>
                  <w:tcW w:w="691" w:type="pct"/>
                  <w:vAlign w:val="center"/>
                </w:tcPr>
                <w:p>
                  <w:pPr>
                    <w:keepNext w:val="0"/>
                    <w:keepLines w:val="0"/>
                    <w:pageBreakBefore w:val="0"/>
                    <w:wordWrap/>
                    <w:topLinePunct w:val="0"/>
                    <w:autoSpaceDE w:val="0"/>
                    <w:autoSpaceDN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900-023-29</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496"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诊疗室</w:t>
                  </w:r>
                  <w:r>
                    <w:rPr>
                      <w:rFonts w:hint="default" w:ascii="Times New Roman" w:hAnsi="Times New Roman" w:cs="Times New Roman"/>
                      <w:color w:val="auto"/>
                      <w:sz w:val="21"/>
                      <w:szCs w:val="21"/>
                      <w:highlight w:val="none"/>
                    </w:rPr>
                    <w:t>等</w:t>
                  </w:r>
                </w:p>
              </w:tc>
              <w:tc>
                <w:tcPr>
                  <w:tcW w:w="308"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固态</w:t>
                  </w:r>
                </w:p>
              </w:tc>
              <w:tc>
                <w:tcPr>
                  <w:tcW w:w="443"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含汞电光源</w:t>
                  </w:r>
                </w:p>
              </w:tc>
              <w:tc>
                <w:tcPr>
                  <w:tcW w:w="428"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含汞电光源</w:t>
                  </w:r>
                </w:p>
              </w:tc>
              <w:tc>
                <w:tcPr>
                  <w:tcW w:w="360"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1年</w:t>
                  </w:r>
                </w:p>
              </w:tc>
              <w:tc>
                <w:tcPr>
                  <w:tcW w:w="353" w:type="pct"/>
                  <w:vAlign w:val="center"/>
                </w:tcPr>
                <w:p>
                  <w:pPr>
                    <w:keepNext w:val="0"/>
                    <w:keepLines w:val="0"/>
                    <w:pageBreakBefore w:val="0"/>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T</w:t>
                  </w:r>
                </w:p>
              </w:tc>
              <w:tc>
                <w:tcPr>
                  <w:tcW w:w="357" w:type="pct"/>
                  <w:vMerge w:val="continue"/>
                  <w:vAlign w:val="center"/>
                </w:tcPr>
                <w:p>
                  <w:pPr>
                    <w:keepNext w:val="0"/>
                    <w:keepLines w:val="0"/>
                    <w:pageBreakBefore w:val="0"/>
                    <w:wordWrap/>
                    <w:topLinePunct w:val="0"/>
                    <w:bidi w:val="0"/>
                    <w:ind w:left="0" w:leftChars="0"/>
                    <w:jc w:val="center"/>
                    <w:rPr>
                      <w:rFonts w:hint="default" w:ascii="Times New Roman" w:hAnsi="Times New Roman" w:cs="Times New Roman"/>
                      <w:color w:val="auto"/>
                      <w:sz w:val="21"/>
                      <w:szCs w:val="21"/>
                      <w:highlight w:val="none"/>
                    </w:rPr>
                  </w:pP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color w:val="auto"/>
                <w:sz w:val="24"/>
                <w:szCs w:val="24"/>
                <w:highlight w:val="none"/>
                <w:lang w:val="en-US" w:eastAsia="zh-CN"/>
              </w:rPr>
            </w:pPr>
            <w:r>
              <w:rPr>
                <w:b/>
                <w:bCs/>
                <w:color w:val="auto"/>
                <w:sz w:val="24"/>
                <w:highlight w:val="none"/>
              </w:rPr>
              <w:t>2、固体废物存储及管理要求</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（1）一般固废</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1）生活垃圾</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本项目不设置单独的生活垃圾房，</w:t>
            </w:r>
            <w:r>
              <w:rPr>
                <w:rFonts w:hint="default" w:ascii="Times New Roman" w:hAnsi="Times New Roman" w:cs="Times New Roman"/>
                <w:color w:val="auto"/>
                <w:sz w:val="24"/>
                <w:szCs w:val="24"/>
                <w:highlight w:val="none"/>
                <w:lang w:val="en-US" w:eastAsia="zh-CN"/>
              </w:rPr>
              <w:t>生活垃圾</w:t>
            </w:r>
            <w:r>
              <w:rPr>
                <w:rFonts w:hint="eastAsia" w:cs="Times New Roman"/>
                <w:color w:val="auto"/>
                <w:sz w:val="24"/>
                <w:szCs w:val="24"/>
                <w:highlight w:val="none"/>
                <w:lang w:val="en-US" w:eastAsia="zh-CN"/>
              </w:rPr>
              <w:t>通过设置在院区的垃圾桶进行收集，</w:t>
            </w:r>
            <w:r>
              <w:rPr>
                <w:rFonts w:hint="default" w:ascii="Times New Roman" w:hAnsi="Times New Roman" w:cs="Times New Roman"/>
                <w:color w:val="auto"/>
                <w:sz w:val="24"/>
                <w:szCs w:val="24"/>
                <w:highlight w:val="none"/>
                <w:lang w:val="en-US" w:eastAsia="zh-CN"/>
              </w:rPr>
              <w:t>采用密闭塑料和塑料袋封装垃圾，垃圾日产日清。</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2）餐厨垃圾</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营运期应落实以下餐厨垃圾贮存、转运要求：</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设置餐厨垃圾贮存间等收集设施设备；使用符合标准、有醒目标识的餐厨垃圾专用收集容器；产生废弃食用油脂的，还应当按照环保部门的规定设置油水分离器或隔油池等污染防治设施，避免废弃食用油脂和油水混合物直接排放。</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②保持餐厨垃圾收集、存放设施设备功能完好、正常使用、干净整洁。</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③按规定分类收集、密闭存放餐厨垃圾。</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④与取得经营许可的餐厨垃圾收运单位签订书面收运协议，并在餐厨垃圾产生后24小时内交其收运，并落实联单制度。</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⑤餐厨垃圾收运单位应密闭化运输餐厨垃圾，并保持车况良好、车容整洁，按照规定的时间和路线将餐厨垃圾清运至取得经营许可的餐厨垃圾处理单位处理。</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⑥餐厨垃圾产生单位应当建立餐厨垃圾产生、交运台账，真实、完整记录餐厨垃圾的种类、产量和去向等情况。餐厨垃圾收运、处理单位应当建立收运、处理台账，真实、完整记录收运的餐厨垃圾来源、数量、去向、处置方法、产品流向、运行数据等情况，并每月向城管部门报告登记。</w:t>
            </w:r>
          </w:p>
          <w:p>
            <w:pPr>
              <w:keepNext w:val="0"/>
              <w:keepLines w:val="0"/>
              <w:pageBreakBefore w:val="0"/>
              <w:wordWrap/>
              <w:topLinePunct w:val="0"/>
              <w:bidi w:val="0"/>
              <w:spacing w:line="360" w:lineRule="auto"/>
              <w:ind w:left="0" w:leftChars="0" w:firstLine="482" w:firstLineChars="200"/>
              <w:rPr>
                <w:b/>
                <w:bCs/>
                <w:color w:val="auto"/>
                <w:sz w:val="24"/>
                <w:highlight w:val="none"/>
              </w:rPr>
            </w:pPr>
            <w:r>
              <w:rPr>
                <w:rFonts w:hint="eastAsia"/>
                <w:b/>
                <w:bCs/>
                <w:color w:val="auto"/>
                <w:sz w:val="24"/>
                <w:highlight w:val="none"/>
              </w:rPr>
              <w:t>（</w:t>
            </w:r>
            <w:r>
              <w:rPr>
                <w:b/>
                <w:bCs/>
                <w:color w:val="auto"/>
                <w:sz w:val="24"/>
                <w:highlight w:val="none"/>
              </w:rPr>
              <w:t>2</w:t>
            </w:r>
            <w:r>
              <w:rPr>
                <w:rFonts w:hint="eastAsia"/>
                <w:b/>
                <w:bCs/>
                <w:color w:val="auto"/>
                <w:sz w:val="24"/>
                <w:highlight w:val="none"/>
              </w:rPr>
              <w:t>）危险废物</w:t>
            </w:r>
          </w:p>
          <w:p>
            <w:pPr>
              <w:keepNext w:val="0"/>
              <w:keepLines w:val="0"/>
              <w:pageBreakBefore w:val="0"/>
              <w:wordWrap/>
              <w:topLinePunct w:val="0"/>
              <w:bidi w:val="0"/>
              <w:spacing w:line="360" w:lineRule="auto"/>
              <w:ind w:left="0" w:leftChars="0" w:firstLine="482" w:firstLineChars="200"/>
              <w:rPr>
                <w:rFonts w:hint="eastAsia"/>
                <w:b/>
                <w:bCs/>
                <w:color w:val="auto"/>
                <w:sz w:val="24"/>
                <w:highlight w:val="none"/>
              </w:rPr>
            </w:pPr>
            <w:r>
              <w:rPr>
                <w:b/>
                <w:bCs/>
                <w:color w:val="auto"/>
                <w:sz w:val="24"/>
                <w:highlight w:val="none"/>
              </w:rPr>
              <w:t>1</w:t>
            </w:r>
            <w:r>
              <w:rPr>
                <w:rFonts w:hint="eastAsia"/>
                <w:b/>
                <w:bCs/>
                <w:color w:val="auto"/>
                <w:sz w:val="24"/>
                <w:highlight w:val="none"/>
              </w:rPr>
              <w:t>）医疗废物</w:t>
            </w:r>
          </w:p>
          <w:p>
            <w:pPr>
              <w:keepNext w:val="0"/>
              <w:keepLines w:val="0"/>
              <w:pageBreakBefore w:val="0"/>
              <w:wordWrap/>
              <w:topLinePunct w:val="0"/>
              <w:bidi w:val="0"/>
              <w:spacing w:line="360" w:lineRule="auto"/>
              <w:ind w:left="0" w:leftChars="0" w:firstLine="482" w:firstLineChars="200"/>
              <w:rPr>
                <w:b/>
                <w:bCs/>
                <w:color w:val="auto"/>
                <w:sz w:val="24"/>
                <w:highlight w:val="none"/>
              </w:rPr>
            </w:pPr>
            <w:r>
              <w:rPr>
                <w:rFonts w:hint="eastAsia"/>
                <w:b/>
                <w:bCs/>
                <w:color w:val="auto"/>
                <w:sz w:val="24"/>
                <w:highlight w:val="none"/>
              </w:rPr>
              <w:t>①</w:t>
            </w:r>
            <w:r>
              <w:rPr>
                <w:b/>
                <w:bCs/>
                <w:color w:val="auto"/>
                <w:sz w:val="24"/>
                <w:highlight w:val="none"/>
              </w:rPr>
              <w:t>储存要求</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本项目营运期医疗废物应分类收集储存在医废暂存间，医废暂存间应采用符合《医疗废物专用包装物、容器标准和警示标识规定》（环发〔2003〕188号）要求的专用容器进行分类收集、贮存和管理，医废暂存间需落实“防风、防雨、防晒、防渗漏”的“四防”措施，设置警示标识和防渗漏、防鼠、防蚊蝇、防蟑螂、防盗以及预防儿童接触等安全措施，并定期进行消毒和清洁</w:t>
            </w:r>
            <w:r>
              <w:rPr>
                <w:rFonts w:hint="eastAsia"/>
                <w:color w:val="auto"/>
                <w:sz w:val="24"/>
                <w:highlight w:val="none"/>
              </w:rPr>
              <w:t>，医疗废物暂存间设置截流沟排入院区污水处理系统，地面冲洗水接入院区污水管网进入污水处理系统进行处理</w:t>
            </w:r>
            <w:r>
              <w:rPr>
                <w:color w:val="auto"/>
                <w:sz w:val="24"/>
                <w:highlight w:val="none"/>
              </w:rPr>
              <w:t>。根据《医疗废物管理条例》（国务院令第380号）、《医疗卫生机构医疗废物管理办法》（卫生部令第36号）、《医疗废物集中处置技术规范（试行）》（环发〔2003〕206号）等规范要求，医疗废物必须严格按照以下要求执行：</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A、医疗卫生机构应当建立、健全医疗废物管理责任制，其法定代表人为第一责任人，切实履行职责，防止因医疗废物导致传染病传播和环境污染事故。</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B、医疗卫生机构应当制定与医疗废物安全处置有关的规章制度和在发生意外事故时的应急方案；设置监控部门或者专（兼）职人员，负责检查、督促、落实本单位医疗废物的管理工作。</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C、医疗卫生机构应当对本单位从事医疗废物收集、运送、贮存、处置等工作的人员和管理人员，进行相关法律和专业技术、安全防护以及紧急处理等知识的培训。</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D、医疗卫生机构应当采取有效的职业卫生防护措施，为从事医疗废物收集、运送、贮存、处置等工作的人员和管理人员，配备必要的防护用品，定期进行健康检查；必要时，对有关人员进行免疫接种，防止其受到健康损害。</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E、医疗卫生机构应当依照《中华人民共和国固体废物污染环境防治法》的规定，执行危险废物转移联单管理制度。</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F、医疗卫生机构应当对医疗废物进行登记，登记内容应当包括医疗废物的来源、种类、重量或者数量、交接时间、处置方法、最终去向以及经办人签名等项目。登记资料至少保存3年。</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G、医疗卫生机构应当采取有效措施，防止医疗废物流失、泄漏、扩散。发生医疗废物流失、泄漏、扩散时，医疗卫生机构应当采取减少危害的紧急处理措施，对致病人员提供医疗救护和现场救援；同时向所在地的县级人民政府卫生行政主管部门、环境保护行政主管部门报告，并向可能受到危害的单位和居民通报。</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H、医疗卫生机构应当及时收集本单位产生的医疗废物，并按照类别分置于防渗漏、防锐器穿透的专用包装物或者密闭的容器内。医疗废物专用包装物、容器，应当有明显的警示标识和警示说明。</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I、医疗卫生机构应当建立医疗废物的暂时贮存设施、设备，不得露天存放医疗废物；医疗废物暂时贮存的时间不得超过24h。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J、医疗卫生机构应当使用防渗漏、防遗撒的专用运送工具，按照本单位确定的内部医疗废物运送时间、路线，将医疗废物收集、运送至暂时贮存地点。运送工具使用后应当在医疗卫生机构内指定的地点及时消毒和清洁。</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K、医疗卫生机构应当按照以下要求，及时分类收集医疗废物：</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a.根据医疗废物的类别，将医疗废物分置于符合《医疗废物专用包装物、容器标准和警示标识规定》（环发〔2003〕188号）的包装物或者容器内。</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b.在盛装医疗废物前，应当对医疗废物包装物或者容器进行认真检查，确保无破损、渗漏和其他缺陷。</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c.感染性废物、病理性废物、损伤性废物、药物性废物及化学性废物不能混合收集。少量的药物性废物可以混入感染性废物，但应当在标签上注明。</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d.废弃的麻醉、精神、放射性、毒性等药品及其相关的废物的管理，依照有关法律、行政法规和国家有关规定、标准执行。</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e.化学性废物中批量的废化学试剂、废消毒剂应当交由专门机构处置。</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f.批量的含有汞的体温计、血压计等医疗器具报废时，应当交由专门机构处置。</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g.放入包装物或者容器内的感染性废物、病理性废物、损伤性废物不得取出。</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L、医疗卫生机构内医疗废物产生地点应当有医疗废物分类收集方法的示意图或者文字说明。</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M、盛装的医疗废物达到包装物或者容器的3/4时，应当使用有效的封口方式，使包装物或者容器的封口紧实、严密。</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N、盛装医疗废物的每个包装物、容器外表面应当有警示标识，在每个包装物、容器上应当系中文标签，中文标签的内容应当包括：医疗废物产生单位、产生日期、类别及需要的特别说明等。</w:t>
            </w:r>
          </w:p>
          <w:p>
            <w:pPr>
              <w:keepNext w:val="0"/>
              <w:keepLines w:val="0"/>
              <w:pageBreakBefore w:val="0"/>
              <w:wordWrap/>
              <w:topLinePunct w:val="0"/>
              <w:bidi w:val="0"/>
              <w:spacing w:line="360" w:lineRule="auto"/>
              <w:ind w:left="0" w:leftChars="0" w:firstLine="482" w:firstLineChars="200"/>
              <w:rPr>
                <w:b/>
                <w:bCs/>
                <w:color w:val="auto"/>
                <w:sz w:val="24"/>
                <w:highlight w:val="none"/>
              </w:rPr>
            </w:pPr>
            <w:r>
              <w:rPr>
                <w:rFonts w:hint="eastAsia" w:ascii="宋体" w:hAnsi="宋体" w:cs="宋体"/>
                <w:b/>
                <w:bCs/>
                <w:color w:val="auto"/>
                <w:sz w:val="24"/>
                <w:highlight w:val="none"/>
              </w:rPr>
              <w:t>②</w:t>
            </w:r>
            <w:r>
              <w:rPr>
                <w:b/>
                <w:bCs/>
                <w:color w:val="auto"/>
                <w:sz w:val="24"/>
                <w:highlight w:val="none"/>
              </w:rPr>
              <w:t>转运要求</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医疗废物转运时必须安全转移，防止撒漏，且由具处理资质的单位接手，并严格落实以下要求：</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A、运送人员每天从医疗废物产生地点将分类包装的医疗废物按照规定的时间和路线运送至内部指定的暂时贮存地点。</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B、运送人员在运送医疗废物前，应当检查包装物或者容器的标识、标签及封口是否符合要求，不得将不符合要求的医疗废物运送至暂时贮存地点。</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C、运送人员在运送医疗废物时，应当防止造成包装物或容器破损和医疗废物的流失、泄漏和扩散，并防止医疗废物直接接触身体。</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D、运送医疗废物应当使用防渗漏、防遗撒、无锐利边角、易于装卸和清洁的专用运送工具。每天运送工作结束后，应当对运送工具及时进行清洁和消毒。</w:t>
            </w:r>
          </w:p>
          <w:p>
            <w:pPr>
              <w:keepNext w:val="0"/>
              <w:keepLines w:val="0"/>
              <w:pageBreakBefore w:val="0"/>
              <w:wordWrap/>
              <w:topLinePunct w:val="0"/>
              <w:bidi w:val="0"/>
              <w:spacing w:line="360" w:lineRule="auto"/>
              <w:ind w:left="0" w:leftChars="0" w:firstLine="482" w:firstLineChars="200"/>
              <w:rPr>
                <w:b/>
                <w:bCs/>
                <w:color w:val="auto"/>
                <w:sz w:val="24"/>
                <w:highlight w:val="none"/>
              </w:rPr>
            </w:pPr>
            <w:r>
              <w:rPr>
                <w:b/>
                <w:bCs/>
                <w:color w:val="auto"/>
                <w:sz w:val="24"/>
                <w:highlight w:val="none"/>
              </w:rPr>
              <w:t>2）其他危险废物</w:t>
            </w:r>
          </w:p>
          <w:p>
            <w:pPr>
              <w:keepNext w:val="0"/>
              <w:keepLines w:val="0"/>
              <w:pageBreakBefore w:val="0"/>
              <w:wordWrap/>
              <w:topLinePunct w:val="0"/>
              <w:bidi w:val="0"/>
              <w:spacing w:line="360" w:lineRule="auto"/>
              <w:ind w:left="0" w:leftChars="0" w:firstLine="482" w:firstLineChars="200"/>
              <w:rPr>
                <w:color w:val="auto"/>
                <w:sz w:val="24"/>
                <w:highlight w:val="none"/>
              </w:rPr>
            </w:pPr>
            <w:r>
              <w:rPr>
                <w:b/>
                <w:bCs/>
                <w:color w:val="auto"/>
                <w:sz w:val="24"/>
                <w:highlight w:val="none"/>
              </w:rPr>
              <w:t>储存要求：</w:t>
            </w:r>
            <w:r>
              <w:rPr>
                <w:color w:val="auto"/>
                <w:sz w:val="24"/>
                <w:highlight w:val="none"/>
              </w:rPr>
              <w:t>危险废物应分类收集储存在医疗废物暂存间，其应采取防风、防雨、防晒、防渗漏的“四防”措施，按照《环境保护图形标志——固体废物贮存（处置）场》（GB15562.2-1995）设置警示标识，由专人负责管理。危险废物贮存必须严格按照《危险废物贮存污染控制标准》（GB12897-2001）要求执行：</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使用符合标准的容器盛装危险废物。</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②</w:t>
            </w:r>
            <w:r>
              <w:rPr>
                <w:color w:val="auto"/>
                <w:sz w:val="24"/>
                <w:highlight w:val="none"/>
              </w:rPr>
              <w:t>装载危险废物的容器及材质要满足相应的强度要求。</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③</w:t>
            </w:r>
            <w:r>
              <w:rPr>
                <w:color w:val="auto"/>
                <w:sz w:val="24"/>
                <w:highlight w:val="none"/>
              </w:rPr>
              <w:t>装载危险废物的容器必须完好无损。</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④</w:t>
            </w:r>
            <w:r>
              <w:rPr>
                <w:color w:val="auto"/>
                <w:sz w:val="24"/>
                <w:highlight w:val="none"/>
              </w:rPr>
              <w:t>盛装危险废物的容器材质和衬里要与危险废物相容（不相互反应）。</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⑤</w:t>
            </w:r>
            <w:r>
              <w:rPr>
                <w:color w:val="auto"/>
                <w:sz w:val="24"/>
                <w:highlight w:val="none"/>
              </w:rPr>
              <w:t>液体危险废物可注入开孔直径不超过70mm并有放气孔的桶中。</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同时，本环评要求各类危险废物应进行分类收集，并贴上相应的标签，指定专人负责管理，落实责任制。</w:t>
            </w:r>
          </w:p>
          <w:p>
            <w:pPr>
              <w:keepNext w:val="0"/>
              <w:keepLines w:val="0"/>
              <w:pageBreakBefore w:val="0"/>
              <w:wordWrap/>
              <w:topLinePunct w:val="0"/>
              <w:bidi w:val="0"/>
              <w:spacing w:line="360" w:lineRule="auto"/>
              <w:ind w:left="0" w:leftChars="0" w:firstLine="482" w:firstLineChars="200"/>
              <w:rPr>
                <w:color w:val="auto"/>
                <w:sz w:val="24"/>
                <w:highlight w:val="none"/>
              </w:rPr>
            </w:pPr>
            <w:r>
              <w:rPr>
                <w:b/>
                <w:bCs/>
                <w:color w:val="auto"/>
                <w:sz w:val="24"/>
                <w:highlight w:val="none"/>
              </w:rPr>
              <w:t>转运要求：</w:t>
            </w:r>
            <w:r>
              <w:rPr>
                <w:color w:val="auto"/>
                <w:sz w:val="24"/>
                <w:highlight w:val="none"/>
              </w:rPr>
              <w:t>危险废物转运时必须安全转移，防止撒漏，且由具处理资质的单位接手，并严格落实以下要求：</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①</w:t>
            </w:r>
            <w:r>
              <w:rPr>
                <w:color w:val="auto"/>
                <w:sz w:val="24"/>
                <w:highlight w:val="none"/>
              </w:rPr>
              <w:t>危险废物每次外运处置均需做好运输登记，认真填写危险废物转移联单。</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②</w:t>
            </w:r>
            <w:r>
              <w:rPr>
                <w:color w:val="auto"/>
                <w:sz w:val="24"/>
                <w:highlight w:val="none"/>
              </w:rPr>
              <w:t>废弃物运输必须由已签订的危废处置单位负责，处置单位每次处置应以书面形式告知建设单位危险废物最终去向。</w:t>
            </w:r>
          </w:p>
          <w:p>
            <w:pPr>
              <w:keepNext w:val="0"/>
              <w:keepLines w:val="0"/>
              <w:pageBreakBefore w:val="0"/>
              <w:wordWrap/>
              <w:topLinePunct w:val="0"/>
              <w:bidi w:val="0"/>
              <w:spacing w:line="360" w:lineRule="auto"/>
              <w:ind w:left="0" w:leftChars="0" w:firstLine="480" w:firstLineChars="200"/>
              <w:rPr>
                <w:color w:val="auto"/>
                <w:sz w:val="24"/>
                <w:highlight w:val="none"/>
              </w:rPr>
            </w:pPr>
            <w:r>
              <w:rPr>
                <w:rFonts w:hint="eastAsia" w:ascii="宋体" w:hAnsi="宋体" w:cs="宋体"/>
                <w:color w:val="auto"/>
                <w:sz w:val="24"/>
                <w:highlight w:val="none"/>
              </w:rPr>
              <w:t>③</w:t>
            </w:r>
            <w:r>
              <w:rPr>
                <w:color w:val="auto"/>
                <w:sz w:val="24"/>
                <w:highlight w:val="none"/>
              </w:rPr>
              <w:t>危险废物运输路线必须严格按照有关部门批准的路线运输；若必须更改运输路线，需经有关部门同意后才可实施。</w:t>
            </w:r>
          </w:p>
          <w:p>
            <w:pPr>
              <w:keepNext w:val="0"/>
              <w:keepLines w:val="0"/>
              <w:pageBreakBefore w:val="0"/>
              <w:wordWrap/>
              <w:topLinePunct w:val="0"/>
              <w:bidi w:val="0"/>
              <w:spacing w:line="360" w:lineRule="auto"/>
              <w:ind w:left="0" w:leftChars="0" w:firstLine="480" w:firstLineChars="200"/>
              <w:rPr>
                <w:color w:val="auto"/>
                <w:sz w:val="24"/>
                <w:highlight w:val="none"/>
              </w:rPr>
            </w:pPr>
            <w:r>
              <w:rPr>
                <w:color w:val="auto"/>
                <w:sz w:val="24"/>
                <w:highlight w:val="none"/>
              </w:rPr>
              <w:t>综上所述，本项目营运期严格落实本环评中提出的各类废物处置措施，落实危险废物储存和转运要求，可防止因处置不当出现的环境二次污染。</w:t>
            </w:r>
          </w:p>
          <w:p>
            <w:pPr>
              <w:keepNext w:val="0"/>
              <w:keepLines w:val="0"/>
              <w:pageBreakBefore w:val="0"/>
              <w:wordWrap/>
              <w:topLinePunct w:val="0"/>
              <w:bidi w:val="0"/>
              <w:spacing w:line="360" w:lineRule="auto"/>
              <w:ind w:left="0" w:leftChars="0"/>
              <w:rPr>
                <w:rFonts w:hint="eastAsia"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五、</w:t>
            </w:r>
            <w:r>
              <w:rPr>
                <w:rFonts w:hint="default" w:ascii="Times New Roman" w:hAnsi="Times New Roman" w:cs="Times New Roman"/>
                <w:b/>
                <w:bCs/>
                <w:color w:val="auto"/>
                <w:sz w:val="24"/>
                <w:highlight w:val="none"/>
              </w:rPr>
              <w:t>地下水</w:t>
            </w:r>
            <w:r>
              <w:rPr>
                <w:rFonts w:hint="eastAsia" w:cs="Times New Roman"/>
                <w:b/>
                <w:bCs/>
                <w:color w:val="auto"/>
                <w:sz w:val="24"/>
                <w:highlight w:val="none"/>
                <w:lang w:eastAsia="zh-CN"/>
              </w:rPr>
              <w:t>、</w:t>
            </w:r>
            <w:r>
              <w:rPr>
                <w:rFonts w:hint="eastAsia" w:cs="Times New Roman"/>
                <w:b/>
                <w:bCs/>
                <w:color w:val="auto"/>
                <w:sz w:val="24"/>
                <w:highlight w:val="none"/>
                <w:lang w:val="en-US" w:eastAsia="zh-CN"/>
              </w:rPr>
              <w:t>土壤</w:t>
            </w:r>
            <w:r>
              <w:rPr>
                <w:rFonts w:hint="default" w:ascii="Times New Roman" w:hAnsi="Times New Roman" w:cs="Times New Roman"/>
                <w:b/>
                <w:bCs/>
                <w:color w:val="auto"/>
                <w:sz w:val="24"/>
                <w:highlight w:val="none"/>
              </w:rPr>
              <w:t>污染</w:t>
            </w:r>
            <w:r>
              <w:rPr>
                <w:rFonts w:hint="eastAsia" w:cs="Times New Roman"/>
                <w:b/>
                <w:bCs/>
                <w:color w:val="auto"/>
                <w:sz w:val="24"/>
                <w:highlight w:val="none"/>
                <w:lang w:val="en-US" w:eastAsia="zh-CN"/>
              </w:rPr>
              <w:t>及</w:t>
            </w:r>
            <w:r>
              <w:rPr>
                <w:rFonts w:hint="default" w:ascii="Times New Roman" w:hAnsi="Times New Roman" w:cs="Times New Roman"/>
                <w:b/>
                <w:bCs/>
                <w:color w:val="auto"/>
                <w:sz w:val="24"/>
                <w:highlight w:val="none"/>
              </w:rPr>
              <w:t>防治</w:t>
            </w:r>
            <w:r>
              <w:rPr>
                <w:rFonts w:hint="eastAsia" w:cs="Times New Roman"/>
                <w:b/>
                <w:bCs/>
                <w:color w:val="auto"/>
                <w:sz w:val="24"/>
                <w:highlight w:val="none"/>
                <w:lang w:val="en-US" w:eastAsia="zh-CN"/>
              </w:rPr>
              <w:t>措施</w:t>
            </w:r>
          </w:p>
          <w:p>
            <w:pPr>
              <w:keepNext w:val="0"/>
              <w:keepLines w:val="0"/>
              <w:pageBreakBefore w:val="0"/>
              <w:wordWrap/>
              <w:topLinePunct w:val="0"/>
              <w:bidi w:val="0"/>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1、污染途径</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1</w:t>
            </w:r>
            <w:r>
              <w:rPr>
                <w:rFonts w:hint="eastAsia" w:cs="Times New Roman"/>
                <w:b/>
                <w:bCs/>
                <w:color w:val="auto"/>
                <w:sz w:val="24"/>
                <w:highlight w:val="none"/>
                <w:lang w:eastAsia="zh-CN"/>
              </w:rPr>
              <w:t>）</w:t>
            </w:r>
            <w:r>
              <w:rPr>
                <w:rFonts w:hint="default" w:ascii="Times New Roman" w:hAnsi="Times New Roman" w:cs="Times New Roman"/>
                <w:b/>
                <w:bCs/>
                <w:color w:val="auto"/>
                <w:sz w:val="24"/>
                <w:highlight w:val="none"/>
              </w:rPr>
              <w:t>地下水污染途径</w:t>
            </w:r>
          </w:p>
          <w:p>
            <w:pPr>
              <w:keepNext w:val="0"/>
              <w:keepLines w:val="0"/>
              <w:pageBreakBefore w:val="0"/>
              <w:wordWrap/>
              <w:topLinePunct w:val="0"/>
              <w:bidi w:val="0"/>
              <w:spacing w:line="360" w:lineRule="auto"/>
              <w:ind w:left="0" w:leftChars="0" w:firstLine="480" w:firstLineChars="200"/>
              <w:rPr>
                <w:rFonts w:hint="eastAsia" w:cs="Times New Roman"/>
                <w:color w:val="auto"/>
                <w:sz w:val="24"/>
                <w:highlight w:val="none"/>
                <w:lang w:eastAsia="zh-CN"/>
              </w:rPr>
            </w:pPr>
            <w:r>
              <w:rPr>
                <w:rFonts w:hint="default" w:ascii="Times New Roman" w:hAnsi="Times New Roman" w:cs="Times New Roman"/>
                <w:color w:val="auto"/>
                <w:sz w:val="24"/>
                <w:highlight w:val="none"/>
              </w:rPr>
              <w:t>本项目营运期污染物进入地下水环境的途径主要是废水排放或原料泄漏等通过垂直渗透进入包气带，进入包气带的污染物在物理、化学和生物作用下经吸附、转化、迁移和分解后输入地下水。根据本项目特点，营运期因渗漏可能产生的污染地下水环节有：①污水管网、污水处理设施、医疗废物暂存间发生“跑、冒、滴、漏”使污染物进入地下水环境。②突发环境风险事故导致原料外溢，进入地下水环境</w:t>
            </w:r>
            <w:r>
              <w:rPr>
                <w:rFonts w:hint="eastAsia" w:cs="Times New Roman"/>
                <w:color w:val="auto"/>
                <w:sz w:val="24"/>
                <w:highlight w:val="none"/>
                <w:lang w:eastAsia="zh-CN"/>
              </w:rPr>
              <w:t>。</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2</w:t>
            </w:r>
            <w:r>
              <w:rPr>
                <w:rFonts w:hint="eastAsia"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污染途径</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rPr>
              <w:t>根据分析，本项目土壤环境影响类型为污染影响型，项目污染途径和污染物类型详见下表所示。</w:t>
            </w:r>
          </w:p>
          <w:p>
            <w:pPr>
              <w:pStyle w:val="39"/>
              <w:keepNext w:val="0"/>
              <w:keepLines w:val="0"/>
              <w:pageBreakBefore w:val="0"/>
              <w:wordWrap/>
              <w:topLinePunct w:val="0"/>
              <w:autoSpaceDE w:val="0"/>
              <w:autoSpaceDN w:val="0"/>
              <w:bidi w:val="0"/>
              <w:spacing w:line="360" w:lineRule="auto"/>
              <w:ind w:left="0" w:leftChars="0" w:firstLine="0" w:firstLine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17</w:t>
            </w:r>
            <w:r>
              <w:rPr>
                <w:rFonts w:hint="default" w:ascii="Times New Roman" w:hAnsi="Times New Roman" w:eastAsia="黑体" w:cs="Times New Roman"/>
                <w:color w:val="auto"/>
                <w:szCs w:val="21"/>
                <w:highlight w:val="none"/>
              </w:rPr>
              <w:t xml:space="preserve"> 土壤污染源、污染物及污染途径情况表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592"/>
              <w:gridCol w:w="1223"/>
              <w:gridCol w:w="2608"/>
              <w:gridCol w:w="1061"/>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w:t>
                  </w:r>
                </w:p>
              </w:tc>
              <w:tc>
                <w:tcPr>
                  <w:tcW w:w="87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工艺流程/节点</w:t>
                  </w:r>
                </w:p>
              </w:tc>
              <w:tc>
                <w:tcPr>
                  <w:tcW w:w="67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污染途径</w:t>
                  </w:r>
                </w:p>
              </w:tc>
              <w:tc>
                <w:tcPr>
                  <w:tcW w:w="143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全部污染物指标</w:t>
                  </w:r>
                </w:p>
              </w:tc>
              <w:tc>
                <w:tcPr>
                  <w:tcW w:w="58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特征因子</w:t>
                  </w:r>
                </w:p>
              </w:tc>
              <w:tc>
                <w:tcPr>
                  <w:tcW w:w="5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储油间</w:t>
                  </w:r>
                </w:p>
              </w:tc>
              <w:tc>
                <w:tcPr>
                  <w:tcW w:w="87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w:t>
                  </w:r>
                </w:p>
              </w:tc>
              <w:tc>
                <w:tcPr>
                  <w:tcW w:w="67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垂直入渗</w:t>
                  </w:r>
                </w:p>
              </w:tc>
              <w:tc>
                <w:tcPr>
                  <w:tcW w:w="1437"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石油类</w:t>
                  </w:r>
                </w:p>
              </w:tc>
              <w:tc>
                <w:tcPr>
                  <w:tcW w:w="58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5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化粪池</w:t>
                  </w:r>
                </w:p>
              </w:tc>
              <w:tc>
                <w:tcPr>
                  <w:tcW w:w="87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预处理</w:t>
                  </w:r>
                </w:p>
              </w:tc>
              <w:tc>
                <w:tcPr>
                  <w:tcW w:w="67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垂直入渗</w:t>
                  </w:r>
                </w:p>
              </w:tc>
              <w:tc>
                <w:tcPr>
                  <w:tcW w:w="1437"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pH、COD、BOD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、SS、NH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-N、TP、动植物油、粪大肠菌群</w:t>
                  </w:r>
                  <w:r>
                    <w:rPr>
                      <w:rFonts w:hint="eastAsia" w:cs="Times New Roman"/>
                      <w:color w:val="auto"/>
                      <w:szCs w:val="21"/>
                      <w:highlight w:val="none"/>
                      <w:lang w:eastAsia="zh-CN"/>
                    </w:rPr>
                    <w:t>、</w:t>
                  </w:r>
                  <w:r>
                    <w:rPr>
                      <w:rFonts w:hint="eastAsia" w:cs="Times New Roman"/>
                      <w:color w:val="auto"/>
                      <w:szCs w:val="21"/>
                      <w:highlight w:val="none"/>
                      <w:lang w:val="en-US" w:eastAsia="zh-CN"/>
                    </w:rPr>
                    <w:t>总余氯</w:t>
                  </w:r>
                  <w:r>
                    <w:rPr>
                      <w:rFonts w:hint="default" w:ascii="Times New Roman" w:hAnsi="Times New Roman" w:cs="Times New Roman"/>
                      <w:color w:val="auto"/>
                      <w:szCs w:val="21"/>
                      <w:highlight w:val="none"/>
                    </w:rPr>
                    <w:t>等</w:t>
                  </w:r>
                </w:p>
              </w:tc>
              <w:tc>
                <w:tcPr>
                  <w:tcW w:w="58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2"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污水处理</w:t>
                  </w:r>
                  <w:r>
                    <w:rPr>
                      <w:rFonts w:hint="eastAsia" w:ascii="Times New Roman" w:hAnsi="Times New Roman" w:cs="Times New Roman"/>
                      <w:color w:val="auto"/>
                      <w:szCs w:val="21"/>
                      <w:highlight w:val="none"/>
                      <w:lang w:val="en-US" w:eastAsia="zh-CN"/>
                    </w:rPr>
                    <w:t>设施</w:t>
                  </w:r>
                </w:p>
              </w:tc>
              <w:tc>
                <w:tcPr>
                  <w:tcW w:w="87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预处理</w:t>
                  </w:r>
                </w:p>
              </w:tc>
              <w:tc>
                <w:tcPr>
                  <w:tcW w:w="67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垂直入渗</w:t>
                  </w:r>
                </w:p>
              </w:tc>
              <w:tc>
                <w:tcPr>
                  <w:tcW w:w="1437"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58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危废暂存间</w:t>
                  </w:r>
                </w:p>
              </w:tc>
              <w:tc>
                <w:tcPr>
                  <w:tcW w:w="87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危险废物、医疗废物储存</w:t>
                  </w:r>
                </w:p>
              </w:tc>
              <w:tc>
                <w:tcPr>
                  <w:tcW w:w="67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垂直入渗、地面漫流</w:t>
                  </w:r>
                </w:p>
              </w:tc>
              <w:tc>
                <w:tcPr>
                  <w:tcW w:w="1437"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、SS、NH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-N、TP、粪大肠菌群等</w:t>
                  </w:r>
                </w:p>
              </w:tc>
              <w:tc>
                <w:tcPr>
                  <w:tcW w:w="58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1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w:t>
                  </w:r>
                </w:p>
              </w:tc>
            </w:tr>
          </w:tbl>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2、</w:t>
            </w:r>
            <w:r>
              <w:rPr>
                <w:rFonts w:hint="default" w:ascii="Times New Roman" w:hAnsi="Times New Roman" w:cs="Times New Roman"/>
                <w:b/>
                <w:bCs/>
                <w:color w:val="auto"/>
                <w:sz w:val="24"/>
                <w:highlight w:val="none"/>
              </w:rPr>
              <w:t>源头控制措施</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①积极推行实施清洁生产，实现各类废物循环利用，减少污染物的排放量；</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③对工艺、管道、设备、污水储存及处理构筑物采取控制措施，防止污染物的跑、冒、滴、漏，将污染物泄漏的环境风险事故降到最低限度。</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rPr>
              <w:t>防渗分区及防治措施</w:t>
            </w:r>
          </w:p>
          <w:p>
            <w:pPr>
              <w:keepNext w:val="0"/>
              <w:keepLines w:val="0"/>
              <w:pageBreakBefore w:val="0"/>
              <w:wordWrap/>
              <w:topLinePunct w:val="0"/>
              <w:bidi w:val="0"/>
              <w:spacing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1</w:t>
            </w:r>
            <w:r>
              <w:rPr>
                <w:rFonts w:hint="eastAsia" w:cs="Times New Roman"/>
                <w:b/>
                <w:bCs/>
                <w:color w:val="auto"/>
                <w:sz w:val="24"/>
                <w:highlight w:val="none"/>
                <w:lang w:eastAsia="zh-CN"/>
              </w:rPr>
              <w:t>）</w:t>
            </w:r>
            <w:r>
              <w:rPr>
                <w:rFonts w:hint="eastAsia" w:cs="Times New Roman"/>
                <w:b/>
                <w:bCs/>
                <w:color w:val="auto"/>
                <w:sz w:val="24"/>
                <w:highlight w:val="none"/>
                <w:lang w:val="en-US" w:eastAsia="zh-CN"/>
              </w:rPr>
              <w:t>地下水防治措施</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地下水环境》（HJ610-2016）防渗分区原则，将本项目分划为重点防渗区、一般防渗区和简单防渗区，划分区域如下：</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重点防渗区：</w:t>
            </w:r>
            <w:r>
              <w:rPr>
                <w:rFonts w:hint="default" w:ascii="Times New Roman" w:hAnsi="Times New Roman" w:cs="Times New Roman"/>
                <w:color w:val="auto"/>
                <w:sz w:val="24"/>
                <w:highlight w:val="none"/>
              </w:rPr>
              <w:t>包括危废暂存间、</w:t>
            </w:r>
            <w:r>
              <w:rPr>
                <w:rFonts w:hint="eastAsia" w:cs="Times New Roman"/>
                <w:color w:val="auto"/>
                <w:sz w:val="24"/>
                <w:highlight w:val="none"/>
                <w:lang w:val="en-US" w:eastAsia="zh-CN"/>
              </w:rPr>
              <w:t>柴油</w:t>
            </w:r>
            <w:r>
              <w:rPr>
                <w:rFonts w:hint="default" w:ascii="Times New Roman" w:hAnsi="Times New Roman" w:cs="Times New Roman"/>
                <w:color w:val="auto"/>
                <w:sz w:val="24"/>
                <w:highlight w:val="none"/>
              </w:rPr>
              <w:t>发电机房</w:t>
            </w:r>
            <w:r>
              <w:rPr>
                <w:rFonts w:hint="eastAsia" w:cs="Times New Roman"/>
                <w:color w:val="auto"/>
                <w:sz w:val="24"/>
                <w:highlight w:val="none"/>
                <w:lang w:eastAsia="zh-CN"/>
              </w:rPr>
              <w:t>（</w:t>
            </w:r>
            <w:r>
              <w:rPr>
                <w:rFonts w:hint="eastAsia" w:cs="Times New Roman"/>
                <w:color w:val="auto"/>
                <w:sz w:val="24"/>
                <w:highlight w:val="none"/>
                <w:lang w:val="en-US" w:eastAsia="zh-CN"/>
              </w:rPr>
              <w:t>含储油间</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污水处理设施池体、化粪池等</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拟</w:t>
            </w:r>
            <w:r>
              <w:rPr>
                <w:rFonts w:hint="default" w:ascii="Times New Roman" w:hAnsi="Times New Roman" w:cs="Times New Roman"/>
                <w:color w:val="auto"/>
                <w:sz w:val="24"/>
                <w:highlight w:val="none"/>
              </w:rPr>
              <w:t>采用防渗混凝土+</w:t>
            </w:r>
            <w:r>
              <w:rPr>
                <w:rFonts w:hint="eastAsia" w:cs="Times New Roman"/>
                <w:color w:val="auto"/>
                <w:sz w:val="24"/>
                <w:highlight w:val="none"/>
                <w:lang w:eastAsia="zh-CN"/>
              </w:rPr>
              <w:t>环氧树脂防渗层或</w:t>
            </w:r>
            <w:r>
              <w:rPr>
                <w:color w:val="auto"/>
                <w:sz w:val="24"/>
                <w:highlight w:val="none"/>
              </w:rPr>
              <w:t>2mm</w:t>
            </w:r>
            <w:r>
              <w:rPr>
                <w:rFonts w:ascii="宋体" w:hAnsi="宋体"/>
                <w:color w:val="auto"/>
                <w:sz w:val="24"/>
                <w:highlight w:val="none"/>
              </w:rPr>
              <w:t>厚</w:t>
            </w:r>
            <w:r>
              <w:rPr>
                <w:color w:val="auto"/>
                <w:sz w:val="24"/>
                <w:highlight w:val="none"/>
              </w:rPr>
              <w:t>HDPE</w:t>
            </w:r>
            <w:r>
              <w:rPr>
                <w:rFonts w:ascii="宋体" w:hAnsi="宋体"/>
                <w:color w:val="auto"/>
                <w:sz w:val="24"/>
                <w:highlight w:val="none"/>
              </w:rPr>
              <w:t>防渗层</w:t>
            </w:r>
            <w:r>
              <w:rPr>
                <w:rFonts w:hint="eastAsia" w:cs="Times New Roman"/>
                <w:color w:val="auto"/>
                <w:sz w:val="24"/>
                <w:highlight w:val="none"/>
                <w:lang w:val="en-US" w:eastAsia="zh-CN"/>
              </w:rPr>
              <w:t>或</w:t>
            </w:r>
            <w:r>
              <w:rPr>
                <w:rFonts w:hint="eastAsia" w:cs="Times New Roman"/>
                <w:color w:val="auto"/>
                <w:sz w:val="24"/>
                <w:highlight w:val="none"/>
                <w:lang w:eastAsia="zh-CN"/>
              </w:rPr>
              <w:t>其他同等级防渗材料进行防渗、防腐处理</w:t>
            </w:r>
            <w:r>
              <w:rPr>
                <w:rFonts w:hint="default" w:ascii="Times New Roman" w:hAnsi="Times New Roman" w:cs="Times New Roman"/>
                <w:color w:val="auto"/>
                <w:sz w:val="24"/>
                <w:highlight w:val="none"/>
              </w:rPr>
              <w:t>，防渗技术要求为等效黏土防渗层Mb≥6.0m，K≤10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一般防渗区：</w:t>
            </w:r>
            <w:r>
              <w:rPr>
                <w:rFonts w:hint="eastAsia" w:cs="Times New Roman"/>
                <w:color w:val="auto"/>
                <w:sz w:val="24"/>
                <w:highlight w:val="none"/>
                <w:lang w:val="en-US" w:eastAsia="zh-CN"/>
              </w:rPr>
              <w:t>除发热门诊和住院部重点防渗区域外、</w:t>
            </w:r>
            <w:r>
              <w:rPr>
                <w:rFonts w:hint="eastAsia" w:ascii="Times New Roman" w:hAnsi="Times New Roman" w:cs="Times New Roman"/>
                <w:color w:val="auto"/>
                <w:sz w:val="24"/>
                <w:highlight w:val="none"/>
                <w:lang w:val="en-US" w:eastAsia="zh-CN"/>
              </w:rPr>
              <w:t>业务楼等进行一般防渗</w:t>
            </w:r>
            <w:r>
              <w:rPr>
                <w:rFonts w:hint="default" w:ascii="Times New Roman" w:hAnsi="Times New Roman" w:cs="Times New Roman"/>
                <w:color w:val="auto"/>
                <w:sz w:val="24"/>
                <w:highlight w:val="none"/>
              </w:rPr>
              <w:t>区域，采用防渗混凝土+泥砂浆地坪，确保防渗技术要求为等效黏土防渗层Mb≥1.5m，K≤10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w:t>
            </w:r>
          </w:p>
          <w:p>
            <w:pPr>
              <w:keepNext w:val="0"/>
              <w:keepLines w:val="0"/>
              <w:pageBreakBefore w:val="0"/>
              <w:wordWrap/>
              <w:topLinePunct w:val="0"/>
              <w:bidi w:val="0"/>
              <w:spacing w:line="360" w:lineRule="auto"/>
              <w:ind w:left="0" w:leftChars="0" w:firstLine="482"/>
              <w:rPr>
                <w:rFonts w:hint="default" w:ascii="Times New Roman" w:hAnsi="Times New Roman" w:cs="Times New Roman"/>
                <w:b w:val="0"/>
                <w:bCs/>
                <w:color w:val="auto"/>
                <w:sz w:val="24"/>
                <w:highlight w:val="none"/>
              </w:rPr>
            </w:pPr>
            <w:r>
              <w:rPr>
                <w:rFonts w:hint="default" w:ascii="Times New Roman" w:hAnsi="Times New Roman" w:cs="Times New Roman"/>
                <w:b/>
                <w:bCs w:val="0"/>
                <w:color w:val="auto"/>
                <w:sz w:val="24"/>
                <w:highlight w:val="none"/>
                <w:lang w:val="en-US" w:eastAsia="zh-CN"/>
              </w:rPr>
              <w:t>简单防渗区：</w:t>
            </w:r>
            <w:r>
              <w:rPr>
                <w:rFonts w:hint="eastAsia" w:cs="Times New Roman"/>
                <w:b w:val="0"/>
                <w:bCs/>
                <w:color w:val="auto"/>
                <w:sz w:val="24"/>
                <w:highlight w:val="none"/>
                <w:lang w:val="en-US" w:eastAsia="zh-CN"/>
              </w:rPr>
              <w:t>院</w:t>
            </w:r>
            <w:r>
              <w:rPr>
                <w:rFonts w:hint="default" w:ascii="Times New Roman" w:hAnsi="Times New Roman" w:cs="Times New Roman"/>
                <w:b w:val="0"/>
                <w:bCs/>
                <w:color w:val="auto"/>
                <w:sz w:val="24"/>
                <w:highlight w:val="none"/>
              </w:rPr>
              <w:t>区道路采取一般水泥地硬化。</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2</w:t>
            </w: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土壤</w:t>
            </w:r>
            <w:r>
              <w:rPr>
                <w:rFonts w:hint="default" w:ascii="Times New Roman" w:hAnsi="Times New Roman" w:cs="Times New Roman"/>
                <w:b/>
                <w:bCs/>
                <w:color w:val="auto"/>
                <w:sz w:val="24"/>
                <w:highlight w:val="none"/>
              </w:rPr>
              <w:t>防控措施</w:t>
            </w:r>
          </w:p>
          <w:p>
            <w:pPr>
              <w:keepNext w:val="0"/>
              <w:keepLines w:val="0"/>
              <w:pageBreakBefore w:val="0"/>
              <w:wordWrap/>
              <w:topLinePunct w:val="0"/>
              <w:bidi w:val="0"/>
              <w:spacing w:line="360" w:lineRule="auto"/>
              <w:ind w:left="0" w:leftChars="0" w:firstLine="480" w:firstLineChars="200"/>
              <w:rPr>
                <w:rFonts w:hint="eastAsia" w:cs="Times New Roman"/>
                <w:b/>
                <w:bCs/>
                <w:color w:val="auto"/>
                <w:sz w:val="24"/>
                <w:highlight w:val="none"/>
                <w:lang w:val="en-US" w:eastAsia="zh-CN"/>
              </w:rPr>
            </w:pPr>
            <w:r>
              <w:rPr>
                <w:rFonts w:hint="default" w:ascii="Times New Roman" w:hAnsi="Times New Roman" w:cs="Times New Roman"/>
                <w:color w:val="auto"/>
                <w:sz w:val="24"/>
                <w:highlight w:val="none"/>
              </w:rPr>
              <w:t>严格按照地下水防渗措施落实各个单元进行防腐、防渗处置，防止污染物“跑、冒、滴、漏”；设置专人定期对设备进行巡查，发现问题及时检修。</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rPr>
              <w:t>管理措施</w:t>
            </w:r>
          </w:p>
          <w:p>
            <w:pPr>
              <w:keepNext w:val="0"/>
              <w:keepLines w:val="0"/>
              <w:pageBreakBefore w:val="0"/>
              <w:wordWrap/>
              <w:topLinePunct w:val="0"/>
              <w:autoSpaceDE w:val="0"/>
              <w:autoSpaceDN w:val="0"/>
              <w:bidi w:val="0"/>
              <w:adjustRightInd w:val="0"/>
              <w:spacing w:line="360" w:lineRule="auto"/>
              <w:ind w:left="0" w:leftChars="0"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①医废暂存间定期进行消毒、清洗。</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②落实防渗措施，严格按照分区防渗措施进行防渗处理，防渗材料必</w:t>
            </w:r>
            <w:r>
              <w:rPr>
                <w:rFonts w:hint="default" w:ascii="Times New Roman" w:hAnsi="Times New Roman" w:cs="Times New Roman"/>
                <w:color w:val="auto"/>
                <w:sz w:val="24"/>
                <w:highlight w:val="none"/>
              </w:rPr>
              <w:t>须符合防渗系数要求。</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rPr>
              <w:t>③制定环境风险应急预案，防范风险事故对地下水的影响。</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b/>
                <w:bCs/>
                <w:color w:val="auto"/>
                <w:sz w:val="24"/>
                <w:highlight w:val="none"/>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5</w:t>
            </w:r>
            <w:r>
              <w:rPr>
                <w:rFonts w:hint="eastAsia" w:cs="Times New Roman"/>
                <w:b/>
                <w:bCs/>
                <w:color w:val="auto"/>
                <w:sz w:val="24"/>
                <w:highlight w:val="none"/>
                <w:lang w:eastAsia="zh-CN"/>
              </w:rPr>
              <w:t>）</w:t>
            </w:r>
            <w:r>
              <w:rPr>
                <w:rFonts w:hint="default" w:ascii="Times New Roman" w:hAnsi="Times New Roman" w:cs="Times New Roman"/>
                <w:b/>
                <w:bCs/>
                <w:color w:val="auto"/>
                <w:sz w:val="24"/>
                <w:highlight w:val="none"/>
              </w:rPr>
              <w:t>监测要求</w:t>
            </w:r>
          </w:p>
          <w:p>
            <w:pPr>
              <w:keepNext w:val="0"/>
              <w:keepLines w:val="0"/>
              <w:pageBreakBefore w:val="0"/>
              <w:wordWrap/>
              <w:topLinePunct w:val="0"/>
              <w:bidi w:val="0"/>
              <w:spacing w:line="360" w:lineRule="auto"/>
              <w:ind w:left="0" w:leftChars="0" w:firstLine="482" w:firstLineChars="200"/>
              <w:rPr>
                <w:rFonts w:hint="eastAsia" w:cs="Times New Roman"/>
                <w:color w:val="auto"/>
                <w:sz w:val="24"/>
                <w:szCs w:val="24"/>
                <w:highlight w:val="none"/>
                <w:lang w:val="en-US" w:eastAsia="zh-CN"/>
              </w:rPr>
            </w:pPr>
            <w:r>
              <w:rPr>
                <w:rFonts w:hint="eastAsia" w:cs="Times New Roman"/>
                <w:b/>
                <w:bCs/>
                <w:color w:val="auto"/>
                <w:sz w:val="24"/>
                <w:szCs w:val="24"/>
                <w:highlight w:val="none"/>
                <w:lang w:val="en-US" w:eastAsia="zh-CN"/>
              </w:rPr>
              <w:t>地下水监测要求：</w:t>
            </w:r>
            <w:r>
              <w:rPr>
                <w:rFonts w:hint="default" w:ascii="Times New Roman" w:hAnsi="Times New Roman" w:cs="Times New Roman"/>
                <w:color w:val="auto"/>
                <w:sz w:val="24"/>
                <w:szCs w:val="24"/>
                <w:highlight w:val="none"/>
                <w:lang w:val="en-US" w:eastAsia="zh-CN"/>
              </w:rPr>
              <w:t>本项目为</w:t>
            </w:r>
            <w:r>
              <w:rPr>
                <w:rFonts w:hint="eastAsia"/>
                <w:bCs/>
                <w:color w:val="auto"/>
                <w:sz w:val="24"/>
                <w:szCs w:val="24"/>
                <w:highlight w:val="none"/>
                <w:vertAlign w:val="baseline"/>
                <w:lang w:val="en-US" w:eastAsia="zh-CN" w:bidi="en-US"/>
              </w:rPr>
              <w:t>宣汉同盛医院建设项目</w:t>
            </w:r>
            <w:r>
              <w:rPr>
                <w:rFonts w:hint="default" w:ascii="Times New Roman" w:hAnsi="Times New Roman" w:cs="Times New Roman"/>
                <w:color w:val="auto"/>
                <w:sz w:val="24"/>
                <w:szCs w:val="24"/>
                <w:highlight w:val="none"/>
                <w:lang w:val="en-US" w:eastAsia="zh-CN"/>
              </w:rPr>
              <w:t>，根据查阅《环境影响评价技术导则 地下水环境》（HJ610-2016）中附录A 地下水环境影响评价行业分类表，本项目属于“V社会事业及服务业/158、医院/其余——Ⅳ类”，可不开展地下水环境影响分析，因此本次评价不设置地下水监测要求</w:t>
            </w:r>
            <w:r>
              <w:rPr>
                <w:rFonts w:hint="eastAsia" w:cs="Times New Roman"/>
                <w:color w:val="auto"/>
                <w:sz w:val="24"/>
                <w:szCs w:val="24"/>
                <w:highlight w:val="none"/>
                <w:lang w:val="en-US" w:eastAsia="zh-CN"/>
              </w:rPr>
              <w:t>。</w:t>
            </w:r>
          </w:p>
          <w:p>
            <w:pPr>
              <w:keepNext w:val="0"/>
              <w:keepLines w:val="0"/>
              <w:pageBreakBefore w:val="0"/>
              <w:wordWrap/>
              <w:topLinePunct w:val="0"/>
              <w:bidi w:val="0"/>
              <w:spacing w:line="360" w:lineRule="auto"/>
              <w:ind w:left="0" w:leftChars="0" w:firstLine="482" w:firstLineChars="200"/>
              <w:rPr>
                <w:rFonts w:hint="default" w:ascii="Times New Roman" w:hAnsi="Times New Roman" w:cs="Times New Roman"/>
                <w:color w:val="auto"/>
                <w:sz w:val="24"/>
                <w:szCs w:val="24"/>
                <w:highlight w:val="none"/>
                <w:lang w:eastAsia="zh-CN"/>
              </w:rPr>
            </w:pPr>
            <w:r>
              <w:rPr>
                <w:rFonts w:hint="eastAsia" w:cs="Times New Roman"/>
                <w:b/>
                <w:bCs/>
                <w:color w:val="auto"/>
                <w:sz w:val="24"/>
                <w:highlight w:val="none"/>
                <w:lang w:val="en-US" w:eastAsia="zh-CN"/>
              </w:rPr>
              <w:t>土壤</w:t>
            </w:r>
            <w:r>
              <w:rPr>
                <w:rFonts w:hint="default" w:ascii="Times New Roman" w:hAnsi="Times New Roman" w:cs="Times New Roman"/>
                <w:b/>
                <w:bCs/>
                <w:color w:val="auto"/>
                <w:sz w:val="24"/>
                <w:highlight w:val="none"/>
              </w:rPr>
              <w:t>监测要求</w:t>
            </w:r>
            <w:r>
              <w:rPr>
                <w:rFonts w:hint="eastAsia" w:cs="Times New Roman"/>
                <w:b/>
                <w:bCs/>
                <w:color w:val="auto"/>
                <w:sz w:val="24"/>
                <w:highlight w:val="none"/>
                <w:lang w:eastAsia="zh-CN"/>
              </w:rPr>
              <w:t>：</w:t>
            </w:r>
            <w:r>
              <w:rPr>
                <w:rFonts w:hint="default" w:ascii="Times New Roman" w:hAnsi="Times New Roman" w:cs="Times New Roman"/>
                <w:color w:val="auto"/>
                <w:sz w:val="24"/>
                <w:szCs w:val="24"/>
                <w:highlight w:val="none"/>
                <w:lang w:val="en-US" w:eastAsia="zh-CN"/>
              </w:rPr>
              <w:t>根据《环境影响评价技术导则</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土壤导则》（HJ964-2018）中建设项目类别划分，本项目属于附录A中其他项目，属于Ⅳ类项目，项目不开展土壤环境影响评价，</w:t>
            </w:r>
            <w:r>
              <w:rPr>
                <w:rFonts w:hint="default" w:ascii="Times New Roman" w:hAnsi="Times New Roman" w:cs="Times New Roman"/>
                <w:color w:val="auto"/>
                <w:sz w:val="24"/>
                <w:highlight w:val="none"/>
              </w:rPr>
              <w:t>因此，本次评价不设置土壤监测要求，不开展土壤环境跟踪监测。</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b/>
                <w:color w:val="auto"/>
                <w:sz w:val="24"/>
                <w:highlight w:val="none"/>
                <w:lang w:val="en-US" w:eastAsia="zh-CN"/>
              </w:rPr>
            </w:pPr>
            <w:r>
              <w:rPr>
                <w:rFonts w:hint="eastAsia" w:cs="Times New Roman"/>
                <w:b/>
                <w:color w:val="auto"/>
                <w:sz w:val="24"/>
                <w:highlight w:val="none"/>
                <w:lang w:val="en-US" w:eastAsia="zh-CN"/>
              </w:rPr>
              <w:t>六</w:t>
            </w:r>
            <w:r>
              <w:rPr>
                <w:rFonts w:hint="default" w:ascii="Times New Roman" w:hAnsi="Times New Roman" w:cs="Times New Roman"/>
                <w:b/>
                <w:color w:val="auto"/>
                <w:sz w:val="24"/>
                <w:highlight w:val="none"/>
                <w:lang w:eastAsia="zh-CN"/>
              </w:rPr>
              <w:t>、</w:t>
            </w:r>
            <w:r>
              <w:rPr>
                <w:rFonts w:hint="eastAsia" w:cs="Times New Roman"/>
                <w:b/>
                <w:color w:val="auto"/>
                <w:sz w:val="24"/>
                <w:highlight w:val="none"/>
                <w:lang w:val="en-US" w:eastAsia="zh-CN"/>
              </w:rPr>
              <w:t>生态环境保护措施</w:t>
            </w:r>
          </w:p>
          <w:p>
            <w:pPr>
              <w:pStyle w:val="10"/>
              <w:spacing w:after="0"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本项目位于</w:t>
            </w:r>
            <w:r>
              <w:rPr>
                <w:rFonts w:hint="default" w:ascii="Times New Roman" w:hAnsi="Times New Roman" w:cs="Times New Roman"/>
                <w:bCs/>
                <w:color w:val="auto"/>
                <w:sz w:val="24"/>
                <w:highlight w:val="none"/>
                <w:lang w:val="en-US" w:eastAsia="zh-CN"/>
              </w:rPr>
              <w:t>宣汉县蒲江街道骏杰汽贸园二号楼</w:t>
            </w:r>
            <w:r>
              <w:rPr>
                <w:rFonts w:hint="default" w:ascii="Times New Roman" w:hAnsi="Times New Roman" w:cs="Times New Roman"/>
                <w:color w:val="auto"/>
                <w:sz w:val="24"/>
                <w:highlight w:val="none"/>
              </w:rPr>
              <w:t>，属于宣汉县</w:t>
            </w:r>
            <w:r>
              <w:rPr>
                <w:rFonts w:hint="eastAsia" w:ascii="Times New Roman" w:hAnsi="Times New Roman" w:cs="Times New Roman"/>
                <w:color w:val="auto"/>
                <w:sz w:val="24"/>
                <w:highlight w:val="none"/>
                <w:lang w:val="en-US" w:eastAsia="zh-CN"/>
              </w:rPr>
              <w:t>城区</w:t>
            </w:r>
            <w:r>
              <w:rPr>
                <w:rFonts w:hint="default" w:ascii="Times New Roman" w:hAnsi="Times New Roman" w:cs="Times New Roman"/>
                <w:color w:val="auto"/>
                <w:sz w:val="24"/>
                <w:highlight w:val="none"/>
              </w:rPr>
              <w:t>内，</w:t>
            </w:r>
            <w:r>
              <w:rPr>
                <w:rFonts w:hint="default" w:ascii="Times New Roman" w:hAnsi="Times New Roman" w:cs="Times New Roman"/>
                <w:bCs/>
                <w:color w:val="auto"/>
                <w:sz w:val="24"/>
                <w:highlight w:val="none"/>
              </w:rPr>
              <w:t>根据现场踏勘，项目区所在地植被稀疏，区域内系统生物多样性程度较低，受人类活动影响，无需保护的珍稀野生动植物存在。本项目在该地建设对当地生态环境现状影响较小。</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color w:val="auto"/>
                <w:sz w:val="24"/>
                <w:szCs w:val="24"/>
                <w:highlight w:val="none"/>
                <w:lang w:eastAsia="zh-CN"/>
              </w:rPr>
            </w:pPr>
            <w:r>
              <w:rPr>
                <w:rFonts w:hint="eastAsia" w:cs="Times New Roman"/>
                <w:b/>
                <w:color w:val="auto"/>
                <w:sz w:val="24"/>
                <w:highlight w:val="none"/>
                <w:lang w:val="en-US" w:eastAsia="zh-CN"/>
              </w:rPr>
              <w:t>七、</w:t>
            </w:r>
            <w:r>
              <w:rPr>
                <w:rFonts w:hint="default" w:ascii="Times New Roman" w:hAnsi="Times New Roman" w:cs="Times New Roman"/>
                <w:b/>
                <w:color w:val="auto"/>
                <w:sz w:val="24"/>
                <w:highlight w:val="none"/>
              </w:rPr>
              <w:t>环境风险</w:t>
            </w:r>
          </w:p>
          <w:p>
            <w:pPr>
              <w:keepNext w:val="0"/>
              <w:keepLines w:val="0"/>
              <w:pageBreakBefore w:val="0"/>
              <w:wordWrap/>
              <w:topLinePunct w:val="0"/>
              <w:bidi w:val="0"/>
              <w:spacing w:line="360" w:lineRule="auto"/>
              <w:ind w:left="0" w:leftChars="0" w:firstLine="482" w:firstLineChars="200"/>
              <w:outlineLvl w:val="1"/>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1、风险源调查</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本项目为</w:t>
            </w:r>
            <w:r>
              <w:rPr>
                <w:rFonts w:hint="eastAsia"/>
                <w:bCs/>
                <w:color w:val="auto"/>
                <w:sz w:val="24"/>
                <w:szCs w:val="24"/>
                <w:highlight w:val="none"/>
                <w:vertAlign w:val="baseline"/>
                <w:lang w:val="en-US" w:eastAsia="zh-CN" w:bidi="en-US"/>
              </w:rPr>
              <w:t>宣汉同盛医院建设项目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w:t>
            </w:r>
            <w:r>
              <w:rPr>
                <w:rFonts w:hint="eastAsia" w:ascii="宋体" w:hAnsi="宋体" w:eastAsia="宋体" w:cs="宋体"/>
                <w:b w:val="0"/>
                <w:color w:val="auto"/>
                <w:kern w:val="2"/>
                <w:sz w:val="24"/>
                <w:szCs w:val="24"/>
              </w:rPr>
              <w:t>涉及的危险物质主要</w:t>
            </w:r>
            <w:r>
              <w:rPr>
                <w:rFonts w:hint="eastAsia" w:ascii="宋体" w:hAnsi="宋体" w:eastAsia="宋体" w:cs="宋体"/>
                <w:b w:val="0"/>
                <w:color w:val="auto"/>
                <w:kern w:val="2"/>
                <w:sz w:val="24"/>
                <w:szCs w:val="24"/>
                <w:lang w:val="en-US" w:eastAsia="zh-CN"/>
              </w:rPr>
              <w:t>是杀菌消毒过程中会使用的危险物质是</w:t>
            </w:r>
            <w:r>
              <w:rPr>
                <w:rFonts w:hint="default" w:ascii="Times New Roman" w:hAnsi="Times New Roman" w:cs="Times New Roman"/>
                <w:color w:val="auto"/>
                <w:sz w:val="24"/>
                <w:szCs w:val="24"/>
                <w:highlight w:val="none"/>
                <w:lang w:eastAsia="zh-CN"/>
              </w:rPr>
              <w:t>次氯酸钠</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84消毒液（次氯酸钠）、医用酒精（乙醇），医用制氧系统氧气罐中氧气（12m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），柴油发电机储油间储存的柴油（0.1t）。</w:t>
            </w:r>
            <w:r>
              <w:rPr>
                <w:rFonts w:hint="default" w:ascii="Times New Roman" w:hAnsi="Times New Roman" w:cs="Times New Roman"/>
                <w:color w:val="auto"/>
                <w:sz w:val="24"/>
                <w:szCs w:val="24"/>
                <w:highlight w:val="none"/>
                <w:lang w:eastAsia="zh-CN"/>
              </w:rPr>
              <w:t>本次评价列举如下表所示。</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18</w:t>
            </w:r>
            <w:r>
              <w:rPr>
                <w:rFonts w:hint="default" w:ascii="Times New Roman" w:hAnsi="Times New Roman" w:eastAsia="黑体" w:cs="Times New Roman"/>
                <w:color w:val="auto"/>
                <w:szCs w:val="21"/>
                <w:highlight w:val="none"/>
              </w:rPr>
              <w:t xml:space="preserve"> 主要危险物质储存及危险特性</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875"/>
              <w:gridCol w:w="1350"/>
              <w:gridCol w:w="1105"/>
              <w:gridCol w:w="2782"/>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0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物质名称</w:t>
                  </w:r>
                </w:p>
              </w:tc>
              <w:tc>
                <w:tcPr>
                  <w:tcW w:w="74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最大储存量</w:t>
                  </w:r>
                </w:p>
              </w:tc>
              <w:tc>
                <w:tcPr>
                  <w:tcW w:w="6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储存方式</w:t>
                  </w:r>
                </w:p>
              </w:tc>
              <w:tc>
                <w:tcPr>
                  <w:tcW w:w="15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储存位置</w:t>
                  </w:r>
                </w:p>
              </w:tc>
              <w:tc>
                <w:tcPr>
                  <w:tcW w:w="68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次氯酸钠</w:t>
                  </w:r>
                </w:p>
              </w:tc>
              <w:tc>
                <w:tcPr>
                  <w:tcW w:w="74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0.25t</w:t>
                  </w:r>
                </w:p>
              </w:tc>
              <w:tc>
                <w:tcPr>
                  <w:tcW w:w="6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桶装</w:t>
                  </w:r>
                </w:p>
              </w:tc>
              <w:tc>
                <w:tcPr>
                  <w:tcW w:w="15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一体化</w:t>
                  </w:r>
                  <w:r>
                    <w:rPr>
                      <w:rFonts w:hint="default" w:ascii="Times New Roman" w:hAnsi="Times New Roman" w:cs="Times New Roman"/>
                      <w:color w:val="auto"/>
                      <w:szCs w:val="21"/>
                      <w:highlight w:val="none"/>
                    </w:rPr>
                    <w:t>污水处理</w:t>
                  </w:r>
                  <w:r>
                    <w:rPr>
                      <w:rFonts w:hint="eastAsia" w:cs="Times New Roman"/>
                      <w:color w:val="auto"/>
                      <w:szCs w:val="21"/>
                      <w:highlight w:val="none"/>
                      <w:lang w:val="en-US" w:eastAsia="zh-CN"/>
                    </w:rPr>
                    <w:t>设施控制室、消毒间</w:t>
                  </w:r>
                </w:p>
              </w:tc>
              <w:tc>
                <w:tcPr>
                  <w:tcW w:w="689"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10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柴油</w:t>
                  </w:r>
                </w:p>
              </w:tc>
              <w:tc>
                <w:tcPr>
                  <w:tcW w:w="74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t</w:t>
                  </w:r>
                </w:p>
              </w:tc>
              <w:tc>
                <w:tcPr>
                  <w:tcW w:w="60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桶装</w:t>
                  </w:r>
                </w:p>
              </w:tc>
              <w:tc>
                <w:tcPr>
                  <w:tcW w:w="15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柴油</w:t>
                  </w:r>
                  <w:r>
                    <w:rPr>
                      <w:rFonts w:hint="default" w:ascii="Times New Roman" w:hAnsi="Times New Roman" w:cs="Times New Roman"/>
                      <w:color w:val="auto"/>
                      <w:szCs w:val="21"/>
                      <w:highlight w:val="none"/>
                    </w:rPr>
                    <w:t>发电机房</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储油间</w:t>
                  </w:r>
                  <w:r>
                    <w:rPr>
                      <w:rFonts w:hint="eastAsia" w:cs="Times New Roman"/>
                      <w:color w:val="auto"/>
                      <w:szCs w:val="21"/>
                      <w:highlight w:val="none"/>
                      <w:lang w:eastAsia="zh-CN"/>
                    </w:rPr>
                    <w:t>）</w:t>
                  </w:r>
                </w:p>
              </w:tc>
              <w:tc>
                <w:tcPr>
                  <w:tcW w:w="68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w:t>
                  </w:r>
                </w:p>
              </w:tc>
              <w:tc>
                <w:tcPr>
                  <w:tcW w:w="103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医用酒精（乙醇）</w:t>
                  </w:r>
                </w:p>
              </w:tc>
              <w:tc>
                <w:tcPr>
                  <w:tcW w:w="744"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0.05t</w:t>
                  </w:r>
                </w:p>
              </w:tc>
              <w:tc>
                <w:tcPr>
                  <w:tcW w:w="60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桶装</w:t>
                  </w:r>
                </w:p>
              </w:tc>
              <w:tc>
                <w:tcPr>
                  <w:tcW w:w="1533"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库房</w:t>
                  </w:r>
                </w:p>
              </w:tc>
              <w:tc>
                <w:tcPr>
                  <w:tcW w:w="68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w:t>
                  </w:r>
                </w:p>
              </w:tc>
              <w:tc>
                <w:tcPr>
                  <w:tcW w:w="1033"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氧气</w:t>
                  </w:r>
                </w:p>
              </w:tc>
              <w:tc>
                <w:tcPr>
                  <w:tcW w:w="744"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12m</w:t>
                  </w:r>
                  <w:r>
                    <w:rPr>
                      <w:rFonts w:hint="eastAsia" w:cs="Times New Roman"/>
                      <w:color w:val="auto"/>
                      <w:szCs w:val="21"/>
                      <w:highlight w:val="none"/>
                      <w:vertAlign w:val="superscript"/>
                      <w:lang w:val="en-US" w:eastAsia="zh-CN"/>
                    </w:rPr>
                    <w:t>3</w:t>
                  </w:r>
                  <w:r>
                    <w:rPr>
                      <w:color w:val="auto"/>
                      <w:szCs w:val="21"/>
                      <w:highlight w:val="none"/>
                    </w:rPr>
                    <w:t>（13.72t</w:t>
                  </w:r>
                  <w:r>
                    <w:rPr>
                      <w:rFonts w:hint="eastAsia" w:cs="Times New Roman"/>
                      <w:color w:val="auto"/>
                      <w:szCs w:val="21"/>
                      <w:highlight w:val="none"/>
                      <w:lang w:val="en-US" w:eastAsia="zh-CN"/>
                    </w:rPr>
                    <w:t>）</w:t>
                  </w:r>
                </w:p>
              </w:tc>
              <w:tc>
                <w:tcPr>
                  <w:tcW w:w="60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储罐</w:t>
                  </w:r>
                </w:p>
              </w:tc>
              <w:tc>
                <w:tcPr>
                  <w:tcW w:w="1533"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医用制氧系统氧气罐</w:t>
                  </w:r>
                </w:p>
              </w:tc>
              <w:tc>
                <w:tcPr>
                  <w:tcW w:w="68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强助燃剂</w:t>
                  </w:r>
                  <w:r>
                    <w:rPr>
                      <w:rFonts w:hint="eastAsia"/>
                      <w:color w:val="auto"/>
                      <w:szCs w:val="21"/>
                      <w:highlight w:val="none"/>
                    </w:rPr>
                    <w:t>、爆炸性</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color w:val="auto"/>
                <w:sz w:val="24"/>
                <w:highlight w:val="none"/>
              </w:rPr>
              <w:t>2、风险潜势分析</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建设项目环境风险潜势划分为I、II、III、IV/IV</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rPr>
              <w:t>）为每种危险物质在厂界内的最大存在总量与其在HJ169-2018附录B中对应临界量的比值，即：</w:t>
            </w:r>
          </w:p>
          <w:p>
            <w:pPr>
              <w:keepNext w:val="0"/>
              <w:keepLines w:val="0"/>
              <w:pageBreakBefore w:val="0"/>
              <w:wordWrap/>
              <w:topLinePunct w:val="0"/>
              <w:bidi w:val="0"/>
              <w:spacing w:line="360" w:lineRule="auto"/>
              <w:ind w:left="0" w:leftChars="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30"/>
                <w:sz w:val="24"/>
                <w:highlight w:val="none"/>
              </w:rPr>
              <w:object>
                <v:shape id="_x0000_i1034" o:spt="75" type="#_x0000_t75" style="height:28.5pt;width:79.5pt;" o:ole="t" filled="f" o:preferrelative="t" stroked="f" coordsize="21600,21600">
                  <v:path/>
                  <v:fill on="f" focussize="0,0"/>
                  <v:stroke on="f"/>
                  <v:imagedata r:id="rId30" o:title=""/>
                  <o:lock v:ext="edit" aspectratio="t"/>
                  <w10:wrap type="none"/>
                  <w10:anchorlock/>
                </v:shape>
                <o:OLEObject Type="Embed" ProgID="Equation.DSMT4" ShapeID="_x0000_i1034" DrawAspect="Content" ObjectID="_1468075734" r:id="rId29">
                  <o:LockedField>false</o:LockedField>
                </o:OLEObject>
              </w:objec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i/>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q</w:t>
            </w:r>
            <w:r>
              <w:rPr>
                <w:rFonts w:hint="default" w:ascii="Times New Roman" w:hAnsi="Times New Roman" w:cs="Times New Roman"/>
                <w:i/>
                <w:color w:val="auto"/>
                <w:sz w:val="24"/>
                <w:highlight w:val="none"/>
                <w:vertAlign w:val="subscript"/>
              </w:rPr>
              <w:t>n</w:t>
            </w:r>
            <w:r>
              <w:rPr>
                <w:rFonts w:hint="default" w:ascii="Times New Roman" w:hAnsi="Times New Roman" w:cs="Times New Roman"/>
                <w:color w:val="auto"/>
                <w:sz w:val="24"/>
                <w:highlight w:val="none"/>
              </w:rPr>
              <w:t>——每种危险物质的最大存在总量，t；</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Q</w:t>
            </w:r>
            <w:r>
              <w:rPr>
                <w:rFonts w:hint="default" w:ascii="Times New Roman" w:hAnsi="Times New Roman" w:cs="Times New Roman"/>
                <w:i/>
                <w:color w:val="auto"/>
                <w:sz w:val="24"/>
                <w:highlight w:val="none"/>
                <w:vertAlign w:val="subscript"/>
              </w:rPr>
              <w:t>n</w:t>
            </w:r>
            <w:r>
              <w:rPr>
                <w:rFonts w:hint="default" w:ascii="Times New Roman" w:hAnsi="Times New Roman" w:cs="Times New Roman"/>
                <w:color w:val="auto"/>
                <w:sz w:val="24"/>
                <w:highlight w:val="none"/>
              </w:rPr>
              <w:t>——每种危险物质的临界量，t。</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rPr>
              <w:t>&lt;1时，该项目环境风险潜势为I；当</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rPr>
              <w:t>≥1时，将</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rPr>
              <w:t>值划分为：a.1≤</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rPr>
              <w:t>&lt;10；b. 10≤</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rPr>
              <w:t>&lt;100；c.</w:t>
            </w:r>
            <w:r>
              <w:rPr>
                <w:rFonts w:hint="default" w:ascii="Times New Roman" w:hAnsi="Times New Roman" w:cs="Times New Roman"/>
                <w:i/>
                <w:color w:val="auto"/>
                <w:sz w:val="24"/>
                <w:highlight w:val="none"/>
              </w:rPr>
              <w:t>Q</w:t>
            </w:r>
            <w:r>
              <w:rPr>
                <w:rFonts w:hint="default" w:ascii="Times New Roman" w:hAnsi="Times New Roman" w:cs="Times New Roman"/>
                <w:color w:val="auto"/>
                <w:sz w:val="24"/>
                <w:highlight w:val="none"/>
              </w:rPr>
              <w:t>≥100。</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highlight w:val="none"/>
              </w:rPr>
              <w:t>根据计算，本项目危险物质数量与临界量比值见表4-</w:t>
            </w:r>
            <w:r>
              <w:rPr>
                <w:rFonts w:hint="eastAsia" w:cs="Times New Roman"/>
                <w:color w:val="auto"/>
                <w:sz w:val="24"/>
                <w:highlight w:val="none"/>
                <w:lang w:val="en-US" w:eastAsia="zh-CN"/>
              </w:rPr>
              <w:t>19</w:t>
            </w:r>
            <w:r>
              <w:rPr>
                <w:rFonts w:hint="default" w:ascii="Times New Roman" w:hAnsi="Times New Roman" w:cs="Times New Roman"/>
                <w:color w:val="auto"/>
                <w:sz w:val="24"/>
                <w:highlight w:val="none"/>
                <w:lang w:eastAsia="zh-CN"/>
              </w:rPr>
              <w:t>。</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19</w:t>
            </w:r>
            <w:r>
              <w:rPr>
                <w:rFonts w:hint="default" w:ascii="Times New Roman" w:hAnsi="Times New Roman" w:eastAsia="黑体" w:cs="Times New Roman"/>
                <w:color w:val="auto"/>
                <w:szCs w:val="21"/>
                <w:highlight w:val="none"/>
              </w:rPr>
              <w:t xml:space="preserve"> 危险物质数量与临界量比值表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80"/>
              <w:gridCol w:w="1786"/>
              <w:gridCol w:w="1800"/>
              <w:gridCol w:w="1516"/>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0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物质名称</w:t>
                  </w:r>
                </w:p>
              </w:tc>
              <w:tc>
                <w:tcPr>
                  <w:tcW w:w="9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最大储存量（q）</w:t>
                  </w:r>
                </w:p>
              </w:tc>
              <w:tc>
                <w:tcPr>
                  <w:tcW w:w="9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临界量（Q）</w:t>
                  </w:r>
                </w:p>
              </w:tc>
              <w:tc>
                <w:tcPr>
                  <w:tcW w:w="8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比值（Q）</w:t>
                  </w:r>
                </w:p>
              </w:tc>
              <w:tc>
                <w:tcPr>
                  <w:tcW w:w="7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次氯酸钠</w:t>
                  </w:r>
                </w:p>
              </w:tc>
              <w:tc>
                <w:tcPr>
                  <w:tcW w:w="9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0.25t</w:t>
                  </w:r>
                </w:p>
              </w:tc>
              <w:tc>
                <w:tcPr>
                  <w:tcW w:w="9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5t</w:t>
                  </w:r>
                </w:p>
              </w:tc>
              <w:tc>
                <w:tcPr>
                  <w:tcW w:w="8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0.05</w:t>
                  </w:r>
                </w:p>
              </w:tc>
              <w:tc>
                <w:tcPr>
                  <w:tcW w:w="700" w:type="pct"/>
                  <w:vMerge w:val="restart"/>
                  <w:tcBorders>
                    <w:left w:val="single" w:color="auto" w:sz="4" w:space="0"/>
                    <w:right w:val="single" w:color="auto" w:sz="4" w:space="0"/>
                  </w:tcBorders>
                  <w:noWrap w:val="0"/>
                  <w:vAlign w:val="center"/>
                </w:tcPr>
                <w:p>
                  <w:pPr>
                    <w:keepNext w:val="0"/>
                    <w:keepLines w:val="0"/>
                    <w:pageBreakBefore w:val="0"/>
                    <w:widowControl/>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0.11874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0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柴油</w:t>
                  </w:r>
                </w:p>
              </w:tc>
              <w:tc>
                <w:tcPr>
                  <w:tcW w:w="9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0.1t</w:t>
                  </w:r>
                </w:p>
              </w:tc>
              <w:tc>
                <w:tcPr>
                  <w:tcW w:w="9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2500t</w:t>
                  </w:r>
                </w:p>
              </w:tc>
              <w:tc>
                <w:tcPr>
                  <w:tcW w:w="8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0.00004</w:t>
                  </w:r>
                </w:p>
              </w:tc>
              <w:tc>
                <w:tcPr>
                  <w:tcW w:w="700" w:type="pct"/>
                  <w:vMerge w:val="continue"/>
                  <w:tcBorders>
                    <w:left w:val="single" w:color="auto" w:sz="4" w:space="0"/>
                    <w:right w:val="single" w:color="auto" w:sz="4" w:space="0"/>
                  </w:tcBorders>
                  <w:noWrap w:val="0"/>
                  <w:vAlign w:val="center"/>
                </w:tcPr>
                <w:p>
                  <w:pPr>
                    <w:keepNext w:val="0"/>
                    <w:keepLines w:val="0"/>
                    <w:pageBreakBefore w:val="0"/>
                    <w:widowControl/>
                    <w:wordWrap/>
                    <w:topLinePunct w:val="0"/>
                    <w:bidi w:val="0"/>
                    <w:spacing w:line="240" w:lineRule="auto"/>
                    <w:ind w:left="0" w:leftChars="0"/>
                    <w:jc w:val="center"/>
                    <w:rPr>
                      <w:rFonts w:hint="default"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0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医用酒精（乙醇）</w:t>
                  </w:r>
                </w:p>
              </w:tc>
              <w:tc>
                <w:tcPr>
                  <w:tcW w:w="98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t</w:t>
                  </w:r>
                </w:p>
              </w:tc>
              <w:tc>
                <w:tcPr>
                  <w:tcW w:w="9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500</w:t>
                  </w:r>
                </w:p>
              </w:tc>
              <w:tc>
                <w:tcPr>
                  <w:tcW w:w="83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0.000</w:t>
                  </w:r>
                  <w:r>
                    <w:rPr>
                      <w:rFonts w:hint="default" w:ascii="Times New Roman" w:hAnsi="Times New Roman" w:cs="Times New Roman"/>
                      <w:color w:val="auto"/>
                      <w:highlight w:val="none"/>
                      <w:lang w:val="en-US" w:eastAsia="zh-CN"/>
                    </w:rPr>
                    <w:t>1</w:t>
                  </w:r>
                </w:p>
              </w:tc>
              <w:tc>
                <w:tcPr>
                  <w:tcW w:w="700" w:type="pct"/>
                  <w:vMerge w:val="continue"/>
                  <w:tcBorders>
                    <w:left w:val="single" w:color="auto" w:sz="4" w:space="0"/>
                    <w:right w:val="single" w:color="auto" w:sz="4" w:space="0"/>
                  </w:tcBorders>
                  <w:noWrap w:val="0"/>
                  <w:vAlign w:val="center"/>
                </w:tcPr>
                <w:p>
                  <w:pPr>
                    <w:keepNext w:val="0"/>
                    <w:keepLines w:val="0"/>
                    <w:pageBreakBefore w:val="0"/>
                    <w:widowControl/>
                    <w:wordWrap/>
                    <w:topLinePunct w:val="0"/>
                    <w:bidi w:val="0"/>
                    <w:spacing w:line="240" w:lineRule="auto"/>
                    <w:ind w:left="0" w:leftChars="0"/>
                    <w:jc w:val="center"/>
                    <w:rPr>
                      <w:rFonts w:hint="default"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w:t>
                  </w:r>
                </w:p>
              </w:tc>
              <w:tc>
                <w:tcPr>
                  <w:tcW w:w="10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氧气</w:t>
                  </w:r>
                </w:p>
              </w:tc>
              <w:tc>
                <w:tcPr>
                  <w:tcW w:w="98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12m</w:t>
                  </w:r>
                  <w:r>
                    <w:rPr>
                      <w:color w:val="auto"/>
                      <w:szCs w:val="21"/>
                      <w:highlight w:val="none"/>
                      <w:vertAlign w:val="superscript"/>
                    </w:rPr>
                    <w:t>3</w:t>
                  </w:r>
                  <w:r>
                    <w:rPr>
                      <w:color w:val="auto"/>
                      <w:szCs w:val="21"/>
                      <w:highlight w:val="none"/>
                    </w:rPr>
                    <w:t>（13.72t）</w:t>
                  </w:r>
                </w:p>
              </w:tc>
              <w:tc>
                <w:tcPr>
                  <w:tcW w:w="9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200t</w:t>
                  </w:r>
                </w:p>
              </w:tc>
              <w:tc>
                <w:tcPr>
                  <w:tcW w:w="83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0.0686</w:t>
                  </w:r>
                </w:p>
              </w:tc>
              <w:tc>
                <w:tcPr>
                  <w:tcW w:w="700" w:type="pct"/>
                  <w:vMerge w:val="continue"/>
                  <w:tcBorders>
                    <w:left w:val="single" w:color="auto" w:sz="4" w:space="0"/>
                    <w:right w:val="single" w:color="auto" w:sz="4" w:space="0"/>
                  </w:tcBorders>
                  <w:noWrap w:val="0"/>
                  <w:vAlign w:val="center"/>
                </w:tcPr>
                <w:p>
                  <w:pPr>
                    <w:keepNext w:val="0"/>
                    <w:keepLines w:val="0"/>
                    <w:pageBreakBefore w:val="0"/>
                    <w:widowControl/>
                    <w:wordWrap/>
                    <w:topLinePunct w:val="0"/>
                    <w:bidi w:val="0"/>
                    <w:spacing w:line="240" w:lineRule="auto"/>
                    <w:ind w:left="0" w:leftChars="0"/>
                    <w:jc w:val="center"/>
                    <w:rPr>
                      <w:rFonts w:hint="default" w:ascii="Times New Roman" w:hAnsi="Times New Roman" w:cs="Times New Roman"/>
                      <w:color w:val="auto"/>
                      <w:sz w:val="18"/>
                      <w:szCs w:val="18"/>
                      <w:highlight w:val="none"/>
                    </w:rPr>
                  </w:pPr>
                </w:p>
              </w:tc>
            </w:tr>
          </w:tbl>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由上表可知，本项目危险物质数量与临界量比值（Q）小于1。</w:t>
            </w:r>
          </w:p>
          <w:p>
            <w:pPr>
              <w:keepNext w:val="0"/>
              <w:keepLines w:val="0"/>
              <w:pageBreakBefore w:val="0"/>
              <w:wordWrap/>
              <w:topLinePunct w:val="0"/>
              <w:bidi w:val="0"/>
              <w:spacing w:line="360" w:lineRule="auto"/>
              <w:ind w:left="0" w:leftChars="0" w:firstLine="482" w:firstLineChars="200"/>
              <w:outlineLvl w:val="1"/>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3、环境风险识别</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（1）物质危险性识别</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根据对营运期主要原辅材料进行识别，</w:t>
            </w:r>
            <w:r>
              <w:rPr>
                <w:rFonts w:hint="eastAsia" w:cs="Times New Roman"/>
                <w:color w:val="auto"/>
                <w:sz w:val="24"/>
                <w:highlight w:val="none"/>
                <w:lang w:eastAsia="zh-CN"/>
              </w:rPr>
              <w:t>营运期</w:t>
            </w:r>
            <w:r>
              <w:rPr>
                <w:rFonts w:hint="default" w:ascii="Times New Roman" w:hAnsi="Times New Roman" w:cs="Times New Roman"/>
                <w:color w:val="auto"/>
                <w:sz w:val="24"/>
                <w:highlight w:val="none"/>
              </w:rPr>
              <w:t>间使用的次氯酸钠</w:t>
            </w:r>
            <w:r>
              <w:rPr>
                <w:rFonts w:hint="eastAsia" w:cs="Times New Roman"/>
                <w:color w:val="auto"/>
                <w:sz w:val="24"/>
                <w:highlight w:val="none"/>
                <w:lang w:eastAsia="zh-CN"/>
              </w:rPr>
              <w:t>、</w:t>
            </w:r>
            <w:r>
              <w:rPr>
                <w:rFonts w:hint="eastAsia" w:cs="Times New Roman"/>
                <w:color w:val="auto"/>
                <w:sz w:val="24"/>
                <w:highlight w:val="none"/>
                <w:lang w:val="en-US" w:eastAsia="zh-CN"/>
              </w:rPr>
              <w:t>柴油、医用酒精等</w:t>
            </w:r>
            <w:r>
              <w:rPr>
                <w:rFonts w:hint="default" w:ascii="Times New Roman" w:hAnsi="Times New Roman" w:cs="Times New Roman"/>
                <w:color w:val="auto"/>
                <w:sz w:val="24"/>
                <w:highlight w:val="none"/>
              </w:rPr>
              <w:t>属于《建设项目环境风险评价技术到则》（HJ169-2018）附录B中所列重点关注危险物质。</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（2）生产系统危险性识别</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本项目主要的生产系统危险性识别来源于环保设施不正常运行导致的。</w:t>
            </w:r>
          </w:p>
          <w:p>
            <w:pPr>
              <w:keepNext w:val="0"/>
              <w:keepLines w:val="0"/>
              <w:pageBreakBefore w:val="0"/>
              <w:wordWrap/>
              <w:topLinePunct w:val="0"/>
              <w:bidi w:val="0"/>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①</w:t>
            </w:r>
            <w:r>
              <w:rPr>
                <w:rFonts w:hint="eastAsia" w:cs="Times New Roman"/>
                <w:color w:val="auto"/>
                <w:sz w:val="24"/>
                <w:highlight w:val="none"/>
                <w:lang w:val="en-US" w:eastAsia="zh-CN"/>
              </w:rPr>
              <w:t>一体化污水处理设施</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因污水处理系统不正常运行可能会发生：①由于管道堵塞、管道破裂等造成大量污水外溢，污染地表水、地下水环境；②由于管理不当</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处理效率低，</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因不及时的维护、保养、检修等造成</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发生事故、医疗废水未及时收集处理而造成的废水超标排放；③次氯酸钠用于消毒，存放不妥当次氯酸钠受热或者受潮产生有毒的腐蚀性气体（Cl</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）造成人员灼烧和呼吸中毒。</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rPr>
              <w:t>医疗废物暂存间</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医院医疗废物</w:t>
            </w:r>
            <w:r>
              <w:rPr>
                <w:rFonts w:hint="eastAsia" w:cs="Times New Roman"/>
                <w:color w:val="auto"/>
                <w:sz w:val="24"/>
                <w:highlight w:val="none"/>
                <w:lang w:val="en-US" w:eastAsia="zh-CN"/>
              </w:rPr>
              <w:t>若</w:t>
            </w:r>
            <w:r>
              <w:rPr>
                <w:rFonts w:hint="default" w:ascii="Times New Roman" w:hAnsi="Times New Roman" w:cs="Times New Roman"/>
                <w:color w:val="auto"/>
                <w:sz w:val="24"/>
                <w:highlight w:val="none"/>
              </w:rPr>
              <w:t>不是及时清运、或因其他因素混入生活垃圾后造成的污染环境风险。</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③</w:t>
            </w:r>
            <w:r>
              <w:rPr>
                <w:rFonts w:hint="default" w:ascii="Times New Roman" w:hAnsi="Times New Roman" w:cs="Times New Roman"/>
                <w:color w:val="auto"/>
                <w:sz w:val="24"/>
                <w:highlight w:val="none"/>
              </w:rPr>
              <w:t>柴油发电机房</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柴油发电机房内放置柴油备存，但不设置油库，柴油在运输、存储和使用过程中因设备失灵、操作不当等造成泄漏、火灾等事故，影响地下水、地表水体污染和大气污染，还可威胁到人身安全。</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④</w:t>
            </w:r>
            <w:r>
              <w:rPr>
                <w:rFonts w:hint="default" w:ascii="Times New Roman" w:hAnsi="Times New Roman" w:cs="Times New Roman"/>
                <w:color w:val="auto"/>
                <w:sz w:val="24"/>
                <w:highlight w:val="none"/>
              </w:rPr>
              <w:t>化学品储存</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rPr>
              <w:t>本项目使用的化学品由人工运输至使用点，在存储、使用过程中可能由于储存不当、操作不当造成泄漏、人员中毒和环境污染。</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⑤微生物实验过程</w:t>
            </w:r>
          </w:p>
          <w:p>
            <w:pPr>
              <w:keepNext w:val="0"/>
              <w:keepLines w:val="0"/>
              <w:pageBreakBefore w:val="0"/>
              <w:wordWrap/>
              <w:topLinePunct w:val="0"/>
              <w:bidi w:val="0"/>
              <w:spacing w:line="360" w:lineRule="auto"/>
              <w:ind w:left="0" w:leftChars="0"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项目实验过程中若操作不当存在一定的微生物泄漏风险。</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⑥医用制氧机储氧罐</w:t>
            </w:r>
          </w:p>
          <w:p>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院区在住院部楼顶设置2台医用制氧系统（一备一用）制氧，制得的氧气储存于容积为12m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的氧气罐内，</w:t>
            </w:r>
            <w:r>
              <w:rPr>
                <w:rFonts w:hint="default" w:ascii="Times New Roman" w:hAnsi="Times New Roman" w:cs="Times New Roman"/>
                <w:color w:val="auto"/>
                <w:sz w:val="24"/>
                <w:highlight w:val="none"/>
              </w:rPr>
              <w:t>氧气为助燃物，若因</w:t>
            </w:r>
            <w:r>
              <w:rPr>
                <w:rFonts w:hint="eastAsia" w:cs="Times New Roman"/>
                <w:color w:val="auto"/>
                <w:sz w:val="24"/>
                <w:highlight w:val="none"/>
                <w:lang w:val="en-US" w:eastAsia="zh-CN"/>
              </w:rPr>
              <w:t>楼顶</w:t>
            </w:r>
            <w:r>
              <w:rPr>
                <w:rFonts w:hint="default" w:ascii="Times New Roman" w:hAnsi="Times New Roman" w:cs="Times New Roman"/>
                <w:color w:val="auto"/>
                <w:sz w:val="24"/>
                <w:highlight w:val="none"/>
              </w:rPr>
              <w:t>消防措施不完善、操作不当等原因可能会造成氧气泄漏，如遇明火可能会发生火灾和爆炸。</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3）环境风险类型和危害性分析</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根据本项目污水处理设施的运行情况和原辅材料暂存使用情况，并结合国内同类装置的类比调查，列出本项目营运过程中的潜在危险种类、事故原因、易发场所见表4-</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w:t>
            </w:r>
            <w:r>
              <w:rPr>
                <w:rFonts w:hint="eastAsia" w:eastAsia="黑体" w:cs="Times New Roman"/>
                <w:color w:val="auto"/>
                <w:szCs w:val="21"/>
                <w:highlight w:val="none"/>
                <w:lang w:val="en-US" w:eastAsia="zh-CN"/>
              </w:rPr>
              <w:t>20</w:t>
            </w:r>
            <w:r>
              <w:rPr>
                <w:rFonts w:hint="default" w:ascii="Times New Roman" w:hAnsi="Times New Roman" w:eastAsia="黑体" w:cs="Times New Roman"/>
                <w:color w:val="auto"/>
                <w:szCs w:val="21"/>
                <w:highlight w:val="none"/>
              </w:rPr>
              <w:t xml:space="preserve"> 本项目环境风险识别</w:t>
            </w:r>
          </w:p>
          <w:tbl>
            <w:tblPr>
              <w:tblStyle w:val="20"/>
              <w:tblW w:w="4998" w:type="pct"/>
              <w:jc w:val="center"/>
              <w:tblLayout w:type="fixed"/>
              <w:tblCellMar>
                <w:top w:w="0" w:type="dxa"/>
                <w:left w:w="0" w:type="dxa"/>
                <w:bottom w:w="0" w:type="dxa"/>
                <w:right w:w="0" w:type="dxa"/>
              </w:tblCellMar>
            </w:tblPr>
            <w:tblGrid>
              <w:gridCol w:w="926"/>
              <w:gridCol w:w="3147"/>
              <w:gridCol w:w="2485"/>
              <w:gridCol w:w="2519"/>
            </w:tblGrid>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pStyle w:val="29"/>
                    <w:keepNext w:val="0"/>
                    <w:keepLines w:val="0"/>
                    <w:pageBreakBefore w:val="0"/>
                    <w:kinsoku w:val="0"/>
                    <w:wordWrap/>
                    <w:overflowPunct w:val="0"/>
                    <w:topLinePunct w:val="0"/>
                    <w:bidi w:val="0"/>
                    <w:spacing w:line="240" w:lineRule="auto"/>
                    <w:ind w:left="0" w:leftChars="0"/>
                    <w:jc w:val="center"/>
                    <w:rPr>
                      <w:rFonts w:hint="default" w:ascii="Times New Roman" w:hAnsi="Times New Roman" w:cs="Times New Roman"/>
                      <w:b/>
                      <w:color w:val="auto"/>
                      <w:kern w:val="2"/>
                      <w:sz w:val="21"/>
                      <w:szCs w:val="21"/>
                      <w:highlight w:val="none"/>
                      <w:lang w:eastAsia="zh-CN"/>
                    </w:rPr>
                  </w:pPr>
                  <w:r>
                    <w:rPr>
                      <w:rFonts w:hint="default" w:ascii="Times New Roman" w:hAnsi="Times New Roman" w:cs="Times New Roman"/>
                      <w:b/>
                      <w:color w:val="auto"/>
                      <w:kern w:val="2"/>
                      <w:sz w:val="21"/>
                      <w:szCs w:val="21"/>
                      <w:highlight w:val="none"/>
                      <w:lang w:eastAsia="zh-CN"/>
                    </w:rPr>
                    <w:t>危险单元</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pStyle w:val="29"/>
                    <w:keepNext w:val="0"/>
                    <w:keepLines w:val="0"/>
                    <w:pageBreakBefore w:val="0"/>
                    <w:kinsoku w:val="0"/>
                    <w:wordWrap/>
                    <w:overflowPunct w:val="0"/>
                    <w:topLinePunct w:val="0"/>
                    <w:bidi w:val="0"/>
                    <w:spacing w:line="240" w:lineRule="auto"/>
                    <w:ind w:left="0" w:leftChars="0"/>
                    <w:jc w:val="center"/>
                    <w:rPr>
                      <w:rFonts w:hint="default" w:ascii="Times New Roman" w:hAnsi="Times New Roman" w:cs="Times New Roman"/>
                      <w:b/>
                      <w:color w:val="auto"/>
                      <w:kern w:val="2"/>
                      <w:sz w:val="21"/>
                      <w:szCs w:val="21"/>
                      <w:highlight w:val="none"/>
                      <w:lang w:eastAsia="zh-CN"/>
                    </w:rPr>
                  </w:pPr>
                  <w:r>
                    <w:rPr>
                      <w:rFonts w:hint="default" w:ascii="Times New Roman" w:hAnsi="Times New Roman" w:cs="Times New Roman"/>
                      <w:b/>
                      <w:color w:val="auto"/>
                      <w:kern w:val="2"/>
                      <w:sz w:val="21"/>
                      <w:szCs w:val="21"/>
                      <w:highlight w:val="none"/>
                      <w:lang w:eastAsia="zh-CN"/>
                    </w:rPr>
                    <w:t>主要危险物质</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pStyle w:val="29"/>
                    <w:keepNext w:val="0"/>
                    <w:keepLines w:val="0"/>
                    <w:pageBreakBefore w:val="0"/>
                    <w:kinsoku w:val="0"/>
                    <w:wordWrap/>
                    <w:overflowPunct w:val="0"/>
                    <w:topLinePunct w:val="0"/>
                    <w:bidi w:val="0"/>
                    <w:spacing w:line="240" w:lineRule="auto"/>
                    <w:ind w:left="0" w:leftChars="0"/>
                    <w:jc w:val="center"/>
                    <w:rPr>
                      <w:rFonts w:hint="default" w:ascii="Times New Roman" w:hAnsi="Times New Roman" w:cs="Times New Roman"/>
                      <w:b/>
                      <w:color w:val="auto"/>
                      <w:kern w:val="2"/>
                      <w:sz w:val="21"/>
                      <w:szCs w:val="21"/>
                      <w:highlight w:val="none"/>
                      <w:lang w:eastAsia="zh-CN"/>
                    </w:rPr>
                  </w:pPr>
                  <w:r>
                    <w:rPr>
                      <w:rFonts w:hint="default" w:ascii="Times New Roman" w:hAnsi="Times New Roman" w:cs="Times New Roman"/>
                      <w:b/>
                      <w:color w:val="auto"/>
                      <w:kern w:val="2"/>
                      <w:sz w:val="21"/>
                      <w:szCs w:val="21"/>
                      <w:highlight w:val="none"/>
                      <w:lang w:eastAsia="zh-CN"/>
                    </w:rPr>
                    <w:t>环境风险类型</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一体化污水处理设施</w:t>
                  </w:r>
                  <w:r>
                    <w:rPr>
                      <w:rFonts w:hint="eastAsia" w:cs="Times New Roman"/>
                      <w:color w:val="auto"/>
                      <w:szCs w:val="21"/>
                      <w:highlight w:val="none"/>
                      <w:lang w:val="en-US" w:eastAsia="zh-CN"/>
                    </w:rPr>
                    <w:t>控制室</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次氯酸钠</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腐蚀性/毒性</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消毒间</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次氯酸钠</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腐蚀性/毒性</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3</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柴油</w:t>
                  </w:r>
                  <w:r>
                    <w:rPr>
                      <w:rFonts w:hint="default" w:ascii="Times New Roman" w:hAnsi="Times New Roman" w:cs="Times New Roman"/>
                      <w:color w:val="auto"/>
                      <w:szCs w:val="21"/>
                      <w:highlight w:val="none"/>
                    </w:rPr>
                    <w:t>发电机房储油间</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柴油</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火灾</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医用酒精</w:t>
                  </w:r>
                  <w:r>
                    <w:rPr>
                      <w:rFonts w:hint="eastAsia" w:cs="Times New Roman"/>
                      <w:color w:val="auto"/>
                      <w:highlight w:val="none"/>
                      <w:lang w:eastAsia="zh-CN"/>
                    </w:rPr>
                    <w:t>（</w:t>
                  </w:r>
                  <w:r>
                    <w:rPr>
                      <w:rFonts w:hint="eastAsia" w:cs="Times New Roman"/>
                      <w:color w:val="auto"/>
                      <w:highlight w:val="none"/>
                      <w:lang w:val="en-US" w:eastAsia="zh-CN"/>
                    </w:rPr>
                    <w:t>乙醇</w:t>
                  </w:r>
                  <w:r>
                    <w:rPr>
                      <w:rFonts w:hint="eastAsia" w:cs="Times New Roman"/>
                      <w:color w:val="auto"/>
                      <w:highlight w:val="none"/>
                      <w:lang w:eastAsia="zh-CN"/>
                    </w:rPr>
                    <w:t>）</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乙醇</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火灾</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污水事故排放</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污水</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事故排放</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6</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医院制氧系统氧气罐</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氧气</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color w:val="auto"/>
                      <w:szCs w:val="21"/>
                      <w:highlight w:val="none"/>
                    </w:rPr>
                    <w:t>爆炸</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7</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微生物实验室</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含致病微生物</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color w:val="auto"/>
                      <w:szCs w:val="21"/>
                      <w:highlight w:val="none"/>
                    </w:rPr>
                  </w:pPr>
                  <w:r>
                    <w:rPr>
                      <w:rFonts w:hint="eastAsia" w:ascii="宋体" w:hAnsi="宋体" w:eastAsia="宋体" w:cs="宋体"/>
                      <w:b w:val="0"/>
                      <w:bCs w:val="0"/>
                      <w:color w:val="auto"/>
                      <w:kern w:val="0"/>
                      <w:sz w:val="21"/>
                      <w:szCs w:val="21"/>
                      <w:lang w:val="en-US" w:eastAsia="en-US" w:bidi="ar"/>
                    </w:rPr>
                    <w:t>泄露</w:t>
                  </w:r>
                </w:p>
              </w:tc>
            </w:tr>
            <w:tr>
              <w:tblPrEx>
                <w:tblCellMar>
                  <w:top w:w="0" w:type="dxa"/>
                  <w:left w:w="0" w:type="dxa"/>
                  <w:bottom w:w="0" w:type="dxa"/>
                  <w:right w:w="0" w:type="dxa"/>
                </w:tblCellMar>
              </w:tblPrEx>
              <w:trPr>
                <w:trHeight w:val="340" w:hRule="atLeast"/>
                <w:jc w:val="center"/>
              </w:trPr>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8</w:t>
                  </w:r>
                </w:p>
              </w:tc>
              <w:tc>
                <w:tcPr>
                  <w:tcW w:w="17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医疗废物暂存间</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医疗废物、过期药品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color w:val="auto"/>
                      <w:szCs w:val="21"/>
                      <w:highlight w:val="none"/>
                    </w:rPr>
                  </w:pPr>
                  <w:r>
                    <w:rPr>
                      <w:rFonts w:hint="eastAsia" w:ascii="宋体" w:hAnsi="宋体" w:eastAsia="宋体" w:cs="宋体"/>
                      <w:b w:val="0"/>
                      <w:bCs w:val="0"/>
                      <w:color w:val="auto"/>
                      <w:kern w:val="0"/>
                      <w:sz w:val="21"/>
                      <w:szCs w:val="21"/>
                      <w:lang w:val="en-US" w:eastAsia="en-US" w:bidi="ar"/>
                    </w:rPr>
                    <w:t>泄露</w:t>
                  </w:r>
                </w:p>
              </w:tc>
            </w:tr>
          </w:tbl>
          <w:p>
            <w:pPr>
              <w:keepNext w:val="0"/>
              <w:keepLines w:val="0"/>
              <w:pageBreakBefore w:val="0"/>
              <w:wordWrap/>
              <w:topLinePunct w:val="0"/>
              <w:bidi w:val="0"/>
              <w:spacing w:line="360" w:lineRule="auto"/>
              <w:ind w:left="0" w:leftChars="0" w:firstLine="482" w:firstLineChars="200"/>
              <w:outlineLvl w:val="1"/>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4、环境风险事故分析</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rPr>
              <w:t>（1）</w:t>
            </w:r>
            <w:r>
              <w:rPr>
                <w:rFonts w:hint="default" w:ascii="Times New Roman" w:hAnsi="Times New Roman" w:cs="Times New Roman"/>
                <w:b w:val="0"/>
                <w:bCs w:val="0"/>
                <w:color w:val="auto"/>
                <w:sz w:val="24"/>
                <w:highlight w:val="none"/>
                <w:lang w:val="en-US" w:eastAsia="zh-CN"/>
              </w:rPr>
              <w:t>化学品</w:t>
            </w:r>
          </w:p>
          <w:p>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本项目原材料运输方式采用汽车运输，在运输过程中因意外交通事故，可能贮瓶被撞破，而造成</w:t>
            </w:r>
            <w:r>
              <w:rPr>
                <w:rFonts w:hint="default" w:ascii="Times New Roman" w:hAnsi="Times New Roman" w:cs="Times New Roman"/>
                <w:color w:val="auto"/>
                <w:sz w:val="24"/>
                <w:highlight w:val="none"/>
              </w:rPr>
              <w:t>医用酒精、碘伏</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消毒液、次氯酸钠等</w:t>
            </w:r>
            <w:r>
              <w:rPr>
                <w:rFonts w:hint="default" w:ascii="Times New Roman" w:hAnsi="Times New Roman" w:cs="Times New Roman"/>
                <w:color w:val="auto"/>
                <w:sz w:val="24"/>
                <w:highlight w:val="none"/>
                <w:lang w:val="en-US" w:eastAsia="zh-CN"/>
              </w:rPr>
              <w:t>化学品流出或逸出，导致运输人员和周围人员中毒，造成局部环境污染；或运输过程中因长时间震动可造成化学品逸散、泄漏，导致沿途环境污染或人员中毒。</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项目使用化学品由人工输送至使用点，在贮存、使用过程，可能由于贮存装置破裂、或操作不当，造成泄漏，导致人员中毒和环境污染，或在使用过程中由于操作人员失误造成化学品泄露。</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）大气环境污染影响分析</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由于医疗废物和危险废物不及时清运产生含有有害病菌的空气，从而对医务人员、病人和周围的环境和健康造成影响。</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由于发电机房</w:t>
            </w:r>
            <w:r>
              <w:rPr>
                <w:rFonts w:hint="eastAsia" w:cs="Times New Roman"/>
                <w:color w:val="auto"/>
                <w:sz w:val="24"/>
                <w:highlight w:val="none"/>
                <w:lang w:eastAsia="zh-CN"/>
              </w:rPr>
              <w:t>、</w:t>
            </w:r>
            <w:r>
              <w:rPr>
                <w:rFonts w:hint="eastAsia" w:cs="Times New Roman"/>
                <w:color w:val="auto"/>
                <w:sz w:val="24"/>
                <w:highlight w:val="none"/>
                <w:lang w:val="en-US" w:eastAsia="zh-CN"/>
              </w:rPr>
              <w:t>医用制氧机（氧气罐）</w:t>
            </w:r>
            <w:r>
              <w:rPr>
                <w:rFonts w:hint="default" w:ascii="Times New Roman" w:hAnsi="Times New Roman" w:cs="Times New Roman"/>
                <w:color w:val="auto"/>
                <w:sz w:val="24"/>
                <w:highlight w:val="none"/>
              </w:rPr>
              <w:t>等管理和操作不当，因物料泄漏遇明火后带来的火灾、爆炸等产生的大量有害气体对周围环境、医务人员和病区病人的身体健康带来较大威胁。</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w:t>
            </w:r>
            <w:r>
              <w:rPr>
                <w:rFonts w:hint="eastAsia" w:cs="Times New Roman"/>
                <w:color w:val="auto"/>
                <w:sz w:val="24"/>
                <w:highlight w:val="none"/>
                <w:lang w:val="en-US" w:eastAsia="zh-CN"/>
              </w:rPr>
              <w:t>一体化污水处理设施控制室</w:t>
            </w:r>
            <w:r>
              <w:rPr>
                <w:rFonts w:hint="default" w:ascii="Times New Roman" w:hAnsi="Times New Roman" w:cs="Times New Roman"/>
                <w:color w:val="auto"/>
                <w:sz w:val="24"/>
                <w:highlight w:val="none"/>
              </w:rPr>
              <w:t>内次氯酸钠储存不当受热或受潮产生有毒的腐蚀性气体，对人员造成灼伤和呼吸中毒。</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）地表水污染风险分析</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因事故或者处理效率地下造成医院废水不能及时处理、超标排放，对下游污水处理厂处理工艺和出水造成影响，从而影响受纳水体的水质。</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）地下水污染风险分析</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污水处理系统（包括构筑物、管网等）因不及时检修维护、质量问题等造成爆管、堵塞、接头破损等，造成污水外溢而污染地下水。柴油发电机房因设备故障等造成油污泄漏，若不及时清理会导致地下水污染。</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）次生/伴生环境风险分析</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default" w:ascii="Times New Roman" w:hAnsi="Times New Roman" w:cs="Times New Roman"/>
                <w:color w:val="auto"/>
                <w:sz w:val="24"/>
                <w:highlight w:val="none"/>
              </w:rPr>
              <w:t>因</w:t>
            </w:r>
            <w:r>
              <w:rPr>
                <w:rFonts w:hint="eastAsia" w:cs="Times New Roman"/>
                <w:color w:val="auto"/>
                <w:sz w:val="24"/>
                <w:highlight w:val="none"/>
                <w:lang w:val="en-US" w:eastAsia="zh-CN"/>
              </w:rPr>
              <w:t>一体化污水处理设施控制室</w:t>
            </w:r>
            <w:r>
              <w:rPr>
                <w:rFonts w:hint="default" w:ascii="Times New Roman" w:hAnsi="Times New Roman" w:cs="Times New Roman"/>
                <w:color w:val="auto"/>
                <w:sz w:val="24"/>
                <w:highlight w:val="none"/>
              </w:rPr>
              <w:t>的次氯酸钠内化学试剂因存储不当、管理不足和操作不当造成化学品洒落、泄漏造成对人员皮肤灼伤、呼吸中毒等健康危害，在不利情况下接触明火或者高温造成火灾等风险事故发生</w:t>
            </w:r>
            <w:r>
              <w:rPr>
                <w:rFonts w:hint="eastAsia" w:cs="Times New Roman"/>
                <w:color w:val="auto"/>
                <w:sz w:val="24"/>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6</w:t>
            </w:r>
            <w:r>
              <w:rPr>
                <w:rFonts w:hint="eastAsia" w:cs="Times New Roman"/>
                <w:color w:val="auto"/>
                <w:sz w:val="24"/>
                <w:highlight w:val="none"/>
                <w:lang w:eastAsia="zh-CN"/>
              </w:rPr>
              <w:t>）</w:t>
            </w:r>
            <w:r>
              <w:rPr>
                <w:rFonts w:hint="eastAsia" w:cs="Times New Roman"/>
                <w:color w:val="auto"/>
                <w:sz w:val="24"/>
                <w:highlight w:val="none"/>
                <w:lang w:val="en-US" w:eastAsia="zh-CN"/>
              </w:rPr>
              <w:t>医疗废物暂存间事故风险分析</w:t>
            </w:r>
          </w:p>
          <w:p>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rPr>
            </w:pPr>
            <w:r>
              <w:rPr>
                <w:rFonts w:hint="eastAsia" w:ascii="宋体" w:hAnsi="宋体" w:eastAsia="宋体" w:cs="宋体"/>
                <w:b w:val="0"/>
                <w:bCs/>
                <w:color w:val="auto"/>
                <w:kern w:val="2"/>
                <w:sz w:val="24"/>
                <w:szCs w:val="24"/>
                <w:lang w:val="en-US" w:eastAsia="zh-CN" w:bidi="ar"/>
              </w:rPr>
              <w:t>本项目设置一间</w:t>
            </w:r>
            <w:r>
              <w:rPr>
                <w:rFonts w:hint="eastAsia" w:ascii="Times New Roman" w:hAnsi="Times New Roman" w:eastAsia="宋体" w:cs="Times New Roman"/>
                <w:b w:val="0"/>
                <w:bCs/>
                <w:color w:val="auto"/>
                <w:kern w:val="2"/>
                <w:sz w:val="24"/>
                <w:szCs w:val="24"/>
                <w:lang w:val="en-US" w:eastAsia="zh-CN" w:bidi="ar"/>
              </w:rPr>
              <w:t>2</w:t>
            </w:r>
            <w:r>
              <w:rPr>
                <w:rFonts w:hint="default" w:ascii="Times New Roman" w:hAnsi="Times New Roman" w:eastAsia="宋体" w:cs="Times New Roman"/>
                <w:b w:val="0"/>
                <w:bCs/>
                <w:color w:val="auto"/>
                <w:kern w:val="2"/>
                <w:sz w:val="24"/>
                <w:szCs w:val="24"/>
                <w:lang w:val="en-US" w:eastAsia="zh-CN" w:bidi="ar"/>
              </w:rPr>
              <w:t>0m</w:t>
            </w:r>
            <w:r>
              <w:rPr>
                <w:rFonts w:hint="default" w:ascii="Times New Roman" w:hAnsi="Times New Roman" w:eastAsia="宋体" w:cs="Times New Roman"/>
                <w:b w:val="0"/>
                <w:bCs/>
                <w:color w:val="auto"/>
                <w:kern w:val="2"/>
                <w:sz w:val="24"/>
                <w:szCs w:val="24"/>
                <w:vertAlign w:val="superscript"/>
                <w:lang w:val="en-US" w:eastAsia="zh-CN" w:bidi="ar"/>
              </w:rPr>
              <w:t>2</w:t>
            </w:r>
            <w:r>
              <w:rPr>
                <w:rFonts w:hint="eastAsia" w:ascii="宋体" w:hAnsi="宋体" w:eastAsia="宋体" w:cs="宋体"/>
                <w:b w:val="0"/>
                <w:bCs/>
                <w:color w:val="auto"/>
                <w:kern w:val="2"/>
                <w:sz w:val="24"/>
                <w:szCs w:val="24"/>
                <w:lang w:val="en-US" w:eastAsia="zh-CN" w:bidi="ar"/>
              </w:rPr>
              <w:t>的</w:t>
            </w:r>
            <w:r>
              <w:rPr>
                <w:rFonts w:hint="eastAsia" w:cs="Times New Roman"/>
                <w:color w:val="auto"/>
                <w:sz w:val="24"/>
                <w:highlight w:val="none"/>
                <w:lang w:val="en-US" w:eastAsia="zh-CN"/>
              </w:rPr>
              <w:t>医疗废物暂存间</w:t>
            </w:r>
            <w:r>
              <w:rPr>
                <w:rFonts w:hint="eastAsia" w:ascii="宋体" w:hAnsi="宋体" w:eastAsia="宋体" w:cs="宋体"/>
                <w:b w:val="0"/>
                <w:bCs/>
                <w:color w:val="auto"/>
                <w:kern w:val="2"/>
                <w:sz w:val="24"/>
                <w:szCs w:val="24"/>
                <w:lang w:val="en-US" w:eastAsia="zh-CN" w:bidi="ar"/>
              </w:rPr>
              <w:t>，</w:t>
            </w:r>
            <w:r>
              <w:rPr>
                <w:rFonts w:hint="eastAsia" w:cs="Times New Roman"/>
                <w:color w:val="auto"/>
                <w:sz w:val="24"/>
                <w:highlight w:val="none"/>
                <w:lang w:val="en-US" w:eastAsia="zh-CN"/>
              </w:rPr>
              <w:t>医疗废物暂存间</w:t>
            </w:r>
            <w:r>
              <w:rPr>
                <w:rFonts w:ascii="宋体" w:hAnsi="宋体"/>
                <w:color w:val="auto"/>
                <w:sz w:val="24"/>
                <w:highlight w:val="none"/>
              </w:rPr>
              <w:t>按照《危险废物贮存污染控制标准》（</w:t>
            </w:r>
            <w:r>
              <w:rPr>
                <w:color w:val="auto"/>
                <w:sz w:val="24"/>
                <w:highlight w:val="none"/>
              </w:rPr>
              <w:t>GB12897-2001</w:t>
            </w:r>
            <w:r>
              <w:rPr>
                <w:rFonts w:ascii="宋体" w:hAnsi="宋体"/>
                <w:color w:val="auto"/>
                <w:sz w:val="24"/>
                <w:highlight w:val="none"/>
              </w:rPr>
              <w:t>）及修改清单设计要求</w:t>
            </w:r>
            <w:r>
              <w:rPr>
                <w:rFonts w:hint="eastAsia" w:ascii="宋体" w:hAnsi="宋体"/>
                <w:color w:val="auto"/>
                <w:sz w:val="24"/>
                <w:highlight w:val="none"/>
                <w:lang w:eastAsia="zh-CN"/>
              </w:rPr>
              <w:t>，</w:t>
            </w:r>
            <w:r>
              <w:rPr>
                <w:rFonts w:hint="eastAsia" w:ascii="宋体" w:hAnsi="宋体" w:eastAsia="宋体" w:cs="宋体"/>
                <w:b w:val="0"/>
                <w:bCs/>
                <w:color w:val="auto"/>
                <w:kern w:val="2"/>
                <w:sz w:val="24"/>
                <w:szCs w:val="24"/>
                <w:lang w:val="en-US" w:eastAsia="zh-CN" w:bidi="ar"/>
              </w:rPr>
              <w:t>地面及裙角均要求做耐腐蚀硬化、防渗漏处理，且表面无裂隙；危险废物储存于密闭容器中，在容器外表设置环境保护图形标志和警示标志；一旦出现盛装液态固体废物的容器发生破裂或渗漏情况，马上修复或更换破损容器，地面残留液体用布擦拭干净；不同类、不相容危险废物采取分区存放。且本项目危废暂存周期较短（</w:t>
            </w:r>
            <w:r>
              <w:rPr>
                <w:rFonts w:hint="default" w:ascii="Times New Roman" w:hAnsi="Times New Roman" w:eastAsia="宋体" w:cs="Times New Roman"/>
                <w:b w:val="0"/>
                <w:bCs/>
                <w:color w:val="auto"/>
                <w:kern w:val="2"/>
                <w:sz w:val="24"/>
                <w:szCs w:val="24"/>
                <w:lang w:val="en-US" w:eastAsia="zh-CN" w:bidi="ar"/>
              </w:rPr>
              <w:t>2</w:t>
            </w:r>
            <w:r>
              <w:rPr>
                <w:rFonts w:hint="eastAsia" w:ascii="宋体" w:hAnsi="宋体" w:eastAsia="宋体" w:cs="宋体"/>
                <w:b w:val="0"/>
                <w:bCs/>
                <w:color w:val="auto"/>
                <w:kern w:val="2"/>
                <w:sz w:val="24"/>
                <w:szCs w:val="24"/>
                <w:lang w:val="en-US" w:eastAsia="zh-CN" w:bidi="ar"/>
              </w:rPr>
              <w:t>天），发生泄漏的可能性极低，一般不会对土壤及地下水造成影响。</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7</w:t>
            </w:r>
            <w:r>
              <w:rPr>
                <w:rFonts w:hint="eastAsia" w:cs="Times New Roman"/>
                <w:color w:val="auto"/>
                <w:sz w:val="24"/>
                <w:highlight w:val="none"/>
                <w:lang w:eastAsia="zh-CN"/>
              </w:rPr>
              <w:t>）</w:t>
            </w:r>
            <w:r>
              <w:rPr>
                <w:rFonts w:hint="eastAsia" w:cs="Times New Roman"/>
                <w:color w:val="auto"/>
                <w:sz w:val="24"/>
                <w:highlight w:val="none"/>
                <w:lang w:val="en-US" w:eastAsia="zh-CN"/>
              </w:rPr>
              <w:t>微生物实验室人群健康环境风险分析</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本项目可能实验室发生风险的主要环节包括以下五个方面：</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①危险物质的储存运输</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本项目实验样本启封不当是导致工作人员被感染的危险因素。</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②危险物质的使用及实验室关键设备的故障</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实验样本在使用过程中如果出现误操作、违规操作及人为破坏等事件，可能会造成含致病菌样本的泄漏。同时，许多实验操作均可能使微生物形成气溶胶状态，在空气中传播，并扩散至外界，造成含致病菌的散逸。</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③接触危险物质的物品和废物的处理</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实验过程中，含致病菌样本会接触各种器皿或实验装置，器皿和设备都可能受到污染，其处理过程不当，存在泄漏的隐患。因此必须遵循严格的处理程序，处理过的危险物质也要妥善存储，否则也会对环境构成威胁。</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④环保设备更换</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含致病菌可能造成病毒泄漏并产生废气、污水和固态存在泄漏的隐患。环保设施如高效过滤器和紫外灯管的更换方式不当和维护管理不到位，存在二次污染或病毒扩散风险；更换频率不合适影响高效过滤器过滤效果和可移动紫外灯的杀菌效果，也会增大病毒扩散到环境中的风险。</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⑤排风管道</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sz w:val="24"/>
                <w:highlight w:val="none"/>
                <w:lang w:eastAsia="zh-CN"/>
              </w:rPr>
            </w:pPr>
            <w:r>
              <w:rPr>
                <w:rFonts w:hint="eastAsia" w:cs="Times New Roman"/>
                <w:color w:val="auto"/>
                <w:sz w:val="24"/>
                <w:highlight w:val="none"/>
                <w:lang w:val="en-US" w:eastAsia="zh-CN"/>
              </w:rPr>
              <w:t>排风管道及接头破损，废气将通过管道泄漏。</w:t>
            </w:r>
          </w:p>
          <w:p>
            <w:pPr>
              <w:keepNext w:val="0"/>
              <w:keepLines w:val="0"/>
              <w:pageBreakBefore w:val="0"/>
              <w:wordWrap/>
              <w:topLinePunct w:val="0"/>
              <w:bidi w:val="0"/>
              <w:spacing w:line="360" w:lineRule="auto"/>
              <w:ind w:left="0" w:leftChars="0" w:firstLine="482" w:firstLineChars="200"/>
              <w:outlineLvl w:val="1"/>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5、环境风险防范措施及应急要求</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（1）环境风险防范措施</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1）危险化学品工程控制措施</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①化学品</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危险化学品的购买、储存、保管、使用等需按照《危险化学品安全管理条例》之规定管理。危险化学品必须储存在专用仓库、专用场地或者专用储存室内，其储存方式、方法与储存数量必须符合国家有关规定，并由专人管理，危险化学品出入库，必须进行核查登记，并定期检查库存。危险化学品专用仓库的储存设备和安全设施应当定期检测。而对于精神药品和麻醉药品，则根据《精神药品管理办法》和《麻醉药品管理办法》中要求购买、储存、使用，其检查监督由卫生部门管理。</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要求一般药品和麻药品分开储存，专人负责药品收发、验库、使用登记、报废等工作，医院建立药品和药剂的管理办法，只要严格按照管理办法执行，其危险化学品不会对周围环境和人群健康造成损害。</w:t>
            </w:r>
          </w:p>
          <w:p>
            <w:pPr>
              <w:spacing w:line="360" w:lineRule="auto"/>
              <w:ind w:firstLine="482"/>
              <w:rPr>
                <w:rFonts w:hint="default" w:eastAsia="宋体"/>
                <w:color w:val="auto"/>
                <w:sz w:val="24"/>
                <w:highlight w:val="none"/>
                <w:lang w:val="en-US" w:eastAsia="zh-CN"/>
              </w:rPr>
            </w:pPr>
            <w:r>
              <w:rPr>
                <w:rFonts w:hint="eastAsia" w:ascii="宋体" w:hAnsi="宋体" w:cs="宋体"/>
                <w:color w:val="auto"/>
                <w:sz w:val="24"/>
                <w:highlight w:val="none"/>
              </w:rPr>
              <w:t>②</w:t>
            </w:r>
            <w:r>
              <w:rPr>
                <w:rFonts w:hint="eastAsia" w:ascii="宋体" w:hAnsi="宋体" w:cs="宋体"/>
                <w:color w:val="auto"/>
                <w:sz w:val="24"/>
                <w:highlight w:val="none"/>
                <w:lang w:val="en-US" w:eastAsia="zh-CN"/>
              </w:rPr>
              <w:t>医用制氧机（氧气罐）</w:t>
            </w:r>
          </w:p>
          <w:p>
            <w:pPr>
              <w:spacing w:line="360" w:lineRule="auto"/>
              <w:ind w:firstLine="480"/>
              <w:rPr>
                <w:color w:val="auto"/>
                <w:sz w:val="24"/>
                <w:highlight w:val="none"/>
              </w:rPr>
            </w:pPr>
            <w:r>
              <w:rPr>
                <w:color w:val="auto"/>
                <w:sz w:val="24"/>
                <w:highlight w:val="none"/>
              </w:rPr>
              <w:t>针对本项目特点，环评提出以下的安全对策措施和应急措施。</w:t>
            </w:r>
          </w:p>
          <w:p>
            <w:pPr>
              <w:spacing w:line="360" w:lineRule="auto"/>
              <w:ind w:firstLine="482"/>
              <w:rPr>
                <w:color w:val="auto"/>
                <w:sz w:val="24"/>
                <w:highlight w:val="none"/>
              </w:rPr>
            </w:pPr>
            <w:r>
              <w:rPr>
                <w:color w:val="auto"/>
                <w:sz w:val="24"/>
                <w:highlight w:val="none"/>
              </w:rPr>
              <w:t>a、</w:t>
            </w:r>
            <w:r>
              <w:rPr>
                <w:rFonts w:hint="eastAsia" w:ascii="宋体" w:hAnsi="宋体" w:cs="宋体"/>
                <w:color w:val="auto"/>
                <w:sz w:val="24"/>
                <w:highlight w:val="none"/>
                <w:lang w:val="en-US" w:eastAsia="zh-CN"/>
              </w:rPr>
              <w:t>医用制氧机（氧气罐）周边</w:t>
            </w:r>
            <w:r>
              <w:rPr>
                <w:color w:val="auto"/>
                <w:sz w:val="24"/>
                <w:highlight w:val="none"/>
              </w:rPr>
              <w:t>不得放易燃物品，并定期对储罐和设备进行安全性检验，检验合格后才能使用。</w:t>
            </w:r>
          </w:p>
          <w:p>
            <w:pPr>
              <w:spacing w:line="360" w:lineRule="auto"/>
              <w:ind w:firstLine="480"/>
              <w:rPr>
                <w:color w:val="auto"/>
                <w:sz w:val="24"/>
                <w:highlight w:val="none"/>
              </w:rPr>
            </w:pPr>
            <w:r>
              <w:rPr>
                <w:color w:val="auto"/>
                <w:sz w:val="24"/>
                <w:highlight w:val="none"/>
              </w:rPr>
              <w:t>b、同一储存间严禁存放其他可燃气瓶和油脂类物品。</w:t>
            </w:r>
          </w:p>
          <w:p>
            <w:pPr>
              <w:spacing w:line="360" w:lineRule="auto"/>
              <w:ind w:firstLine="480"/>
              <w:rPr>
                <w:color w:val="auto"/>
                <w:sz w:val="24"/>
                <w:highlight w:val="none"/>
              </w:rPr>
            </w:pPr>
            <w:r>
              <w:rPr>
                <w:color w:val="auto"/>
                <w:sz w:val="24"/>
                <w:highlight w:val="none"/>
              </w:rPr>
              <w:t>c、使用氧气过程中要提供良好的自然通风条件。操作人员必须经过专门培训，严格遵守操作规程。生产和使用时，应远离火种、热源，远离易燃、可燃物，避免与活性金属粉末接触。工作场所严禁吸烟，还要避免高浓度吸入。</w:t>
            </w:r>
          </w:p>
          <w:p>
            <w:pPr>
              <w:spacing w:line="360" w:lineRule="auto"/>
              <w:ind w:firstLine="480"/>
              <w:rPr>
                <w:color w:val="auto"/>
                <w:sz w:val="24"/>
                <w:highlight w:val="none"/>
              </w:rPr>
            </w:pPr>
            <w:r>
              <w:rPr>
                <w:color w:val="auto"/>
                <w:sz w:val="24"/>
                <w:highlight w:val="none"/>
              </w:rPr>
              <w:t>d、明示各种警示标牌，附近严禁烟火和堆放易燃易爆物品，杜绝可能产生火花的一切因素。</w:t>
            </w:r>
          </w:p>
          <w:p>
            <w:pPr>
              <w:spacing w:line="360" w:lineRule="auto"/>
              <w:ind w:firstLine="480"/>
              <w:rPr>
                <w:color w:val="auto"/>
                <w:sz w:val="24"/>
                <w:highlight w:val="none"/>
              </w:rPr>
            </w:pPr>
            <w:r>
              <w:rPr>
                <w:color w:val="auto"/>
                <w:sz w:val="24"/>
                <w:highlight w:val="none"/>
              </w:rPr>
              <w:t>e、强化值班人员的责任心和安全意识，认真开展安全检查工作，发现隐患及时整改，将事故消灭在萌芽状态。</w:t>
            </w:r>
          </w:p>
          <w:p>
            <w:pPr>
              <w:spacing w:line="360" w:lineRule="auto"/>
              <w:ind w:firstLine="480"/>
              <w:rPr>
                <w:color w:val="auto"/>
                <w:sz w:val="24"/>
                <w:highlight w:val="none"/>
              </w:rPr>
            </w:pPr>
            <w:r>
              <w:rPr>
                <w:color w:val="auto"/>
                <w:sz w:val="24"/>
                <w:highlight w:val="none"/>
              </w:rPr>
              <w:t>f、</w:t>
            </w:r>
            <w:r>
              <w:rPr>
                <w:rFonts w:hint="eastAsia"/>
                <w:color w:val="auto"/>
                <w:sz w:val="24"/>
                <w:highlight w:val="none"/>
                <w:lang w:eastAsia="zh-CN"/>
              </w:rPr>
              <w:t>制定</w:t>
            </w:r>
            <w:r>
              <w:rPr>
                <w:color w:val="auto"/>
                <w:sz w:val="24"/>
                <w:highlight w:val="none"/>
              </w:rPr>
              <w:t>应急预案，建立健全安全、环境管理体系，一旦发生事故，要做到快速、高效、安全处置。</w:t>
            </w:r>
          </w:p>
          <w:p>
            <w:pPr>
              <w:spacing w:line="360" w:lineRule="auto"/>
              <w:ind w:firstLine="480"/>
              <w:rPr>
                <w:color w:val="auto"/>
                <w:sz w:val="24"/>
                <w:highlight w:val="none"/>
              </w:rPr>
            </w:pPr>
            <w:r>
              <w:rPr>
                <w:color w:val="auto"/>
                <w:sz w:val="24"/>
                <w:highlight w:val="none"/>
              </w:rPr>
              <w:t>总之，医院应加强管理，严格按照规范的操作程序操作，氧气瓶放置符合有关消防规范，建立健全相应的防范应急措施，并在设计、管理及运行中得到认真落实，可将上述风险事故隐患降至可接受程度。</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2）废水处理系统运行的环境管理要求</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①发生</w:t>
            </w:r>
            <w:r>
              <w:rPr>
                <w:rFonts w:hint="eastAsia" w:cs="Times New Roman"/>
                <w:color w:val="auto"/>
                <w:sz w:val="24"/>
                <w:highlight w:val="none"/>
                <w:lang w:val="en-US" w:eastAsia="zh-CN"/>
              </w:rPr>
              <w:t>一体化污水处理设施发生</w:t>
            </w:r>
            <w:r>
              <w:rPr>
                <w:rFonts w:hint="default" w:ascii="Times New Roman" w:hAnsi="Times New Roman" w:cs="Times New Roman"/>
                <w:color w:val="auto"/>
                <w:sz w:val="24"/>
                <w:highlight w:val="none"/>
              </w:rPr>
              <w:t>事故时，立即通知医院内各用水科室，采取停止或减少用水的措施，减少污水处理站处理负荷。</w:t>
            </w:r>
          </w:p>
          <w:p>
            <w:pPr>
              <w:keepNext w:val="0"/>
              <w:keepLines w:val="0"/>
              <w:pageBreakBefore w:val="0"/>
              <w:wordWrap/>
              <w:topLinePunct w:val="0"/>
              <w:bidi w:val="0"/>
              <w:spacing w:line="360" w:lineRule="auto"/>
              <w:ind w:left="0" w:leftChars="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②当</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发生事故停运时，应将污水立即引入</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调节池（调节池兼顾事故应急池）中暂存，根据医院污水处理工程技术规范（HJ2029-2013）：医院污水处理工程应设置应急事故池，非传染病区医院污水处理工程的应急事故池不应小于日排放量的30%污水处理站发生事故停运时，应将污水立即引入污水处理站调节池中暂存，并对污水处理站进行紧急抢修，若还不能达到目的，则需要立即停止用水。待其恢复正常工作后，将该部分临时储存的污水经</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处理达标后再外排进入市政污水管网。严禁项目污水未经有效处理就直接外排进入市政污水管网。</w:t>
            </w:r>
            <w:r>
              <w:rPr>
                <w:rFonts w:hint="eastAsia" w:cs="Times New Roman"/>
                <w:color w:val="auto"/>
                <w:sz w:val="24"/>
                <w:highlight w:val="none"/>
                <w:lang w:val="en-US" w:eastAsia="zh-CN"/>
              </w:rPr>
              <w:t>项目废水排放量为</w:t>
            </w:r>
            <w:r>
              <w:rPr>
                <w:rFonts w:hint="eastAsia"/>
                <w:color w:val="auto"/>
                <w:kern w:val="0"/>
                <w:sz w:val="24"/>
                <w:highlight w:val="none"/>
                <w:lang w:val="en-US" w:eastAsia="zh-CN"/>
              </w:rPr>
              <w:t>72.72m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/d，因此，项目事故应急池大小至少约21.82m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w:t>
            </w:r>
            <w:r>
              <w:rPr>
                <w:rFonts w:hint="eastAsia" w:cs="Times New Roman"/>
                <w:color w:val="auto"/>
                <w:sz w:val="24"/>
                <w:highlight w:val="none"/>
                <w:lang w:val="en-US" w:eastAsia="zh-CN"/>
              </w:rPr>
              <w:t>项目调节池容积为60m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，能够满足兼顾事故应急池的要求。</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w:t>
            </w:r>
            <w:r>
              <w:rPr>
                <w:rFonts w:hint="eastAsia" w:cs="Times New Roman"/>
                <w:color w:val="auto"/>
                <w:sz w:val="24"/>
                <w:highlight w:val="none"/>
                <w:lang w:val="en-US" w:eastAsia="zh-CN"/>
              </w:rPr>
              <w:t>一体化污水处理设施</w:t>
            </w:r>
            <w:r>
              <w:rPr>
                <w:rFonts w:hint="default" w:ascii="Times New Roman" w:hAnsi="Times New Roman" w:cs="Times New Roman"/>
                <w:color w:val="auto"/>
                <w:sz w:val="24"/>
                <w:highlight w:val="none"/>
              </w:rPr>
              <w:t>运行自动化，采用自动投药、数据记录、专人专岗等，发生故障时，应及时停止向外排放废水。本项目采用次氯酸钠作为医疗用水消毒剂使用，次氯酸钠在水中产生次氯酸，其在水中极易产生氧原子和氯原子从而使得病原体蛋白收到氧化和部分氯化而死亡。次氯酸钠很不稳定，具有一定的腐蚀性，易分解生产氯酸钠放出氯气。因此，</w:t>
            </w:r>
            <w:r>
              <w:rPr>
                <w:rFonts w:hint="eastAsia" w:cs="Times New Roman"/>
                <w:color w:val="auto"/>
                <w:sz w:val="24"/>
                <w:highlight w:val="none"/>
                <w:lang w:val="en-US" w:eastAsia="zh-CN"/>
              </w:rPr>
              <w:t>项目</w:t>
            </w:r>
            <w:r>
              <w:rPr>
                <w:rFonts w:hint="default" w:ascii="Times New Roman" w:hAnsi="Times New Roman" w:cs="Times New Roman"/>
                <w:color w:val="auto"/>
                <w:sz w:val="24"/>
                <w:highlight w:val="none"/>
              </w:rPr>
              <w:t>采用次氯酸钠自动投加器，以控制投加量避免因投加过少导致角度效果不佳或投加过多导致出水余氯超标，还可以避免人工操作不当造成的环境风险事故发生。</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3）柴油储存风险控制措施</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①备用发电机仅停电时使用，柴油的最大储存量为</w:t>
            </w:r>
            <w:r>
              <w:rPr>
                <w:rFonts w:hint="eastAsia" w:cs="Times New Roman"/>
                <w:color w:val="auto"/>
                <w:sz w:val="24"/>
                <w:highlight w:val="none"/>
                <w:lang w:val="en-US" w:eastAsia="zh-CN"/>
              </w:rPr>
              <w:t>0.1</w:t>
            </w:r>
            <w:r>
              <w:rPr>
                <w:rFonts w:hint="default" w:ascii="Times New Roman" w:hAnsi="Times New Roman" w:cs="Times New Roman"/>
                <w:color w:val="auto"/>
                <w:sz w:val="24"/>
                <w:highlight w:val="none"/>
              </w:rPr>
              <w:t>t，在柴油发电机房间设置防火安全设施，并严格《危险化学品安全管理条例》（2002年，国务院第 344 号） 的规定进行运输、储存和使用，储存间内按有关规范要求配置干粉泡沫化学灭火器。</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②在柴油储存间设置应急桶，并设置围堰，地面按照重点防渗区要求进行防渗混凝土硬化+</w:t>
            </w:r>
            <w:r>
              <w:rPr>
                <w:rFonts w:hint="eastAsia" w:cs="Times New Roman"/>
                <w:color w:val="auto"/>
                <w:sz w:val="24"/>
                <w:highlight w:val="none"/>
                <w:lang w:eastAsia="zh-CN"/>
              </w:rPr>
              <w:t>环氧树脂防渗层或</w:t>
            </w:r>
            <w:r>
              <w:rPr>
                <w:color w:val="auto"/>
                <w:sz w:val="24"/>
                <w:highlight w:val="none"/>
              </w:rPr>
              <w:t>2mm</w:t>
            </w:r>
            <w:r>
              <w:rPr>
                <w:rFonts w:ascii="宋体" w:hAnsi="宋体"/>
                <w:color w:val="auto"/>
                <w:sz w:val="24"/>
                <w:highlight w:val="none"/>
              </w:rPr>
              <w:t>厚</w:t>
            </w:r>
            <w:r>
              <w:rPr>
                <w:color w:val="auto"/>
                <w:sz w:val="24"/>
                <w:highlight w:val="none"/>
              </w:rPr>
              <w:t>HDPE</w:t>
            </w:r>
            <w:r>
              <w:rPr>
                <w:rFonts w:ascii="宋体" w:hAnsi="宋体"/>
                <w:color w:val="auto"/>
                <w:sz w:val="24"/>
                <w:highlight w:val="none"/>
              </w:rPr>
              <w:t>防渗层</w:t>
            </w:r>
            <w:r>
              <w:rPr>
                <w:rFonts w:hint="eastAsia" w:cs="Times New Roman"/>
                <w:color w:val="auto"/>
                <w:sz w:val="24"/>
                <w:highlight w:val="none"/>
                <w:lang w:val="en-US" w:eastAsia="zh-CN"/>
              </w:rPr>
              <w:t>或</w:t>
            </w:r>
            <w:r>
              <w:rPr>
                <w:rFonts w:hint="eastAsia" w:cs="Times New Roman"/>
                <w:color w:val="auto"/>
                <w:sz w:val="24"/>
                <w:highlight w:val="none"/>
                <w:lang w:eastAsia="zh-CN"/>
              </w:rPr>
              <w:t>其他同等级防渗材料进行防渗、防腐处理</w:t>
            </w:r>
            <w:r>
              <w:rPr>
                <w:rFonts w:hint="default" w:ascii="Times New Roman" w:hAnsi="Times New Roman" w:cs="Times New Roman"/>
                <w:color w:val="auto"/>
                <w:sz w:val="24"/>
                <w:highlight w:val="none"/>
              </w:rPr>
              <w:t>。</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lang w:val="en-US"/>
              </w:rPr>
            </w:pPr>
            <w:r>
              <w:rPr>
                <w:rFonts w:hint="default" w:ascii="Times New Roman" w:hAnsi="Times New Roman" w:cs="Times New Roman"/>
                <w:color w:val="auto"/>
                <w:sz w:val="24"/>
                <w:highlight w:val="none"/>
              </w:rPr>
              <w:t>4）</w:t>
            </w:r>
            <w:r>
              <w:rPr>
                <w:rFonts w:hint="eastAsia" w:ascii="宋体" w:hAnsi="宋体" w:eastAsia="宋体" w:cs="宋体"/>
                <w:color w:val="auto"/>
                <w:kern w:val="2"/>
                <w:sz w:val="24"/>
                <w:szCs w:val="24"/>
                <w:lang w:val="en-US" w:eastAsia="zh-CN" w:bidi="ar"/>
              </w:rPr>
              <w:t>医疗废物暂存</w:t>
            </w:r>
            <w:r>
              <w:rPr>
                <w:rFonts w:hint="default" w:ascii="Times New Roman" w:hAnsi="Times New Roman" w:cs="Times New Roman"/>
                <w:color w:val="auto"/>
                <w:sz w:val="24"/>
                <w:highlight w:val="none"/>
              </w:rPr>
              <w:t>储存风险控制措施</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①严格落实医院危险废物安全处理制度。</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a、医院必须确保各类危险废物实现无害化处置。</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b、按照卫生部和国家环境保护总局制定的《医疗废物分类目录</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医疗废物管理条例》要求进行分类收集、处理。</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c、严格执行《医疗废物管理条例》要求，</w:t>
            </w:r>
            <w:r>
              <w:rPr>
                <w:rFonts w:hint="default" w:ascii="Times New Roman" w:hAnsi="Times New Roman" w:cs="Times New Roman"/>
                <w:color w:val="auto"/>
                <w:kern w:val="0"/>
                <w:sz w:val="24"/>
                <w:highlight w:val="none"/>
              </w:rPr>
              <w:t>加强环境管理，医废暂存间四周设1m高的防渗墙裙， 设置空桶作为备用收容设施；</w:t>
            </w:r>
            <w:r>
              <w:rPr>
                <w:rFonts w:hint="default" w:ascii="Times New Roman" w:hAnsi="Times New Roman" w:cs="Times New Roman"/>
                <w:color w:val="auto"/>
                <w:sz w:val="24"/>
                <w:highlight w:val="none"/>
              </w:rPr>
              <w:t>医疗垃圾暂存间树立明确的标示牌，必须做到密闭和防渗漏，严格防止地下水污染和土壤污染，并且每天消毒、灭菌，防止病源扩散；做好医疗垃圾暂存和运出处理的管理工作，严格医疗垃圾的“日产日清”制度， 暂存间每天专人负责清扫、消毒工作。</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②建立完善整个医院的风险防范管理制度。</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③加强</w:t>
            </w:r>
            <w:r>
              <w:rPr>
                <w:rFonts w:hint="eastAsia" w:cs="Times New Roman"/>
                <w:color w:val="auto"/>
                <w:sz w:val="24"/>
                <w:highlight w:val="none"/>
                <w:lang w:val="en-US" w:eastAsia="zh-CN"/>
              </w:rPr>
              <w:t>设备设施</w:t>
            </w:r>
            <w:r>
              <w:rPr>
                <w:rFonts w:hint="default" w:ascii="Times New Roman" w:hAnsi="Times New Roman" w:cs="Times New Roman"/>
                <w:color w:val="auto"/>
                <w:sz w:val="24"/>
                <w:highlight w:val="none"/>
              </w:rPr>
              <w:t>管理。工人应严格按照规章制度进行操作，日常强化设备、容器等维护，定期检查管道、阀门、钢瓶或贮槽，严防意外泄漏。</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④污水处理系统由专人负责管理，确保其正常运行</w:t>
            </w:r>
            <w:r>
              <w:rPr>
                <w:rFonts w:hint="default" w:ascii="Times New Roman" w:hAnsi="Times New Roman" w:cs="Times New Roman"/>
                <w:bCs/>
                <w:color w:val="auto"/>
                <w:sz w:val="24"/>
                <w:highlight w:val="none"/>
              </w:rPr>
              <w:t>。</w:t>
            </w:r>
          </w:p>
          <w:p>
            <w:pPr>
              <w:keepNext w:val="0"/>
              <w:keepLines w:val="0"/>
              <w:pageBreakBefore w:val="0"/>
              <w:wordWrap/>
              <w:topLinePunct w:val="0"/>
              <w:bidi w:val="0"/>
              <w:spacing w:line="360" w:lineRule="auto"/>
              <w:ind w:left="0" w:leftChars="0" w:firstLine="480" w:firstLineChars="200"/>
              <w:outlineLvl w:val="1"/>
              <w:rPr>
                <w:rFonts w:hint="eastAsia" w:cs="Times New Roman"/>
                <w:color w:val="auto"/>
                <w:sz w:val="24"/>
                <w:highlight w:val="none"/>
                <w:lang w:val="en-US" w:eastAsia="zh-CN"/>
              </w:rPr>
            </w:pPr>
            <w:r>
              <w:rPr>
                <w:rFonts w:hint="eastAsia" w:cs="Times New Roman"/>
                <w:color w:val="auto"/>
                <w:sz w:val="24"/>
                <w:highlight w:val="none"/>
                <w:lang w:val="en-US" w:eastAsia="zh-CN"/>
              </w:rPr>
              <w:t>5）实验室人群将康风险防范措施</w:t>
            </w:r>
          </w:p>
          <w:p>
            <w:pPr>
              <w:keepNext w:val="0"/>
              <w:keepLines w:val="0"/>
              <w:pageBreakBefore w:val="0"/>
              <w:wordWrap/>
              <w:topLinePunct w:val="0"/>
              <w:bidi w:val="0"/>
              <w:spacing w:line="360" w:lineRule="auto"/>
              <w:ind w:left="0" w:leftChars="0" w:firstLine="480" w:firstLineChars="200"/>
              <w:outlineLvl w:val="1"/>
              <w:rPr>
                <w:rFonts w:hint="eastAsia" w:cs="Times New Roman"/>
                <w:color w:val="auto"/>
                <w:sz w:val="24"/>
                <w:highlight w:val="none"/>
                <w:lang w:val="en-US" w:eastAsia="zh-CN"/>
              </w:rPr>
            </w:pPr>
            <w:r>
              <w:rPr>
                <w:rFonts w:hint="eastAsia" w:cs="Times New Roman"/>
                <w:color w:val="auto"/>
                <w:sz w:val="24"/>
                <w:highlight w:val="none"/>
                <w:lang w:val="en-US" w:eastAsia="zh-CN"/>
              </w:rPr>
              <w:t>依据相关法规要求，并根据实际生产中可能出现的不同事故，建立完善实验室培养物和感染性物质破损或溢出、致病菌（毒）外溢在实验服上、致病菌（毒）种培养液外溢到皮肤上、感染性物质溅入眼睛、发生锐利物刺伤、切割伤或擦伤、实验室发生感染或者病原毒种泄漏、潜在危害性物质的意外食入等状况下的处理程序、另外需制定微生物实验室高效除菌过滤失效风险措施，明确实验室紧急撤离要求，建立实验室事故报告制度。</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（2）事故应急预案</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为了在突发性事故发生时，能迅速、准确地处理和控制事故扩大，把事故损失及危害降到最小程度，有效的应急救援行动是唯一可抵御事故灾害蔓延和减缓灾害后果的有力措施。</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①污水处理系统事故状态下的应急措施</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紧急事故造成病区污水处理设施停止运行时，应立即报告当地环保部门；同时应立即通知医院内各用水科室，采取停止或减少用水的措施，以达到减少污水产生量的目的。污水站事故状态下污水应暂存于调节池（兼事故应急池），在病区污水处理系统恢复使用后，暂存污水必须经病区污水处理系统进行有效处理并达标外排，严禁超标外排。</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评价要求：项目除按照以上各类风险防范管理措施及要求加强管理防范外，还应根据医院实际情况以及消防、公安、环保等部门和国家其它相关规定，进一步</w:t>
            </w:r>
            <w:r>
              <w:rPr>
                <w:rFonts w:hint="eastAsia" w:cs="Times New Roman"/>
                <w:color w:val="auto"/>
                <w:sz w:val="24"/>
                <w:highlight w:val="none"/>
                <w:lang w:eastAsia="zh-CN"/>
              </w:rPr>
              <w:t>制定</w:t>
            </w:r>
            <w:r>
              <w:rPr>
                <w:rFonts w:hint="default" w:ascii="Times New Roman" w:hAnsi="Times New Roman" w:cs="Times New Roman"/>
                <w:color w:val="auto"/>
                <w:sz w:val="24"/>
                <w:highlight w:val="none"/>
              </w:rPr>
              <w:t>符合其自身实际情况和营运需要的紧急事故应急预案和应急组织系统，以期在发生环境风险事故时，将各类环境风险影响控制在可接受范围内。</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②柴油</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a、泄漏应急处理</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 构筑围堤或挖坑收容。用泵转移至槽车或专用收集器内，回收或运至废物处理场所处置。</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b、急救措施</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1&gt;皮肤接触：立即脱去污染的衣着，用肥皂水和清水彻底冲洗皮肤。就医。</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2&gt;眼睛接触：提起眼睑，用流动清水或生理盐水冲洗。就医。</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3&gt;吸入：迅速脱离现场至空气新鲜处。保持呼吸道通畅。如呼吸困难，给输氧。如呼吸停止，立即进行人工呼吸。就医。</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4&gt;食入：尽快彻底洗胃、就医。</w:t>
            </w:r>
          </w:p>
          <w:p>
            <w:pPr>
              <w:keepNext w:val="0"/>
              <w:keepLines w:val="0"/>
              <w:pageBreakBefore w:val="0"/>
              <w:wordWrap/>
              <w:topLinePunct w:val="0"/>
              <w:bidi w:val="0"/>
              <w:spacing w:line="360" w:lineRule="auto"/>
              <w:ind w:left="0" w:leftChars="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c、消防措施</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灭火方法：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③次氯酸钠</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a、急救措施</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1&gt;皮肤接触：脱去污染的衣着，用大量流动清水冲洗。</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2&gt;眼睛接触：提起眼睑，用流动清水或生理盐水冲洗。就医。</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3&gt;吸入：迅速脱离现场至空气新鲜处。保持呼吸道通畅。如呼吸困难，给输氧。如呼吸停止，立即进行人工呼吸，就医。</w:t>
            </w:r>
          </w:p>
          <w:p>
            <w:pPr>
              <w:keepNext w:val="0"/>
              <w:keepLines w:val="0"/>
              <w:pageBreakBefore w:val="0"/>
              <w:wordWrap/>
              <w:topLinePunct w:val="0"/>
              <w:bidi w:val="0"/>
              <w:spacing w:line="360" w:lineRule="auto"/>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4&gt;食入：饮足量温水，禁止催吐。就医。</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b、消防措施</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由于次氯酸钠受热分解产生有毒的腐蚀性烟气，火灾燃烧后产生有害燃烧物氯化物，因此消防灭火采用雾状水、二氧化碳或者砂土灭火。</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c、泄漏应急处理</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1&gt;应急处理： 迅速撤离泄漏污染区人员至安全区，并进行隔离，严格限制出入。建议应急处理人员戴自给</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"https://baike.baidu.com/item/%E6%AD%A3%E5%8E%8B%E5%BC%8F%E5%91%BC%E5%90%B8%E5%99%A8" \t "_blank"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正压式呼吸器</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，穿防酸碱工作服。不要直接接触泄漏物。尽可能切断泄漏源。</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2&gt;小量泄漏：用砂土、</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"https://baike.baidu.com/item/%E8%9B%AD%E7%9F%B3" \t "_blank"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蛭石</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或其它惰性材料吸收。</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3&gt;大量泄漏：构筑围堤或挖坑收容。用泡沫覆盖，降低蒸气灾害。用泵转移至槽车或专用收集器内，回收或运至废物处理场所处置。</w:t>
            </w:r>
          </w:p>
          <w:p>
            <w:pPr>
              <w:spacing w:line="360" w:lineRule="auto"/>
              <w:ind w:firstLine="482"/>
              <w:rPr>
                <w:rFonts w:hint="eastAsia" w:eastAsia="宋体"/>
                <w:color w:val="auto"/>
                <w:sz w:val="24"/>
                <w:highlight w:val="none"/>
                <w:lang w:eastAsia="zh-CN"/>
              </w:rPr>
            </w:pPr>
            <w:r>
              <w:rPr>
                <w:rFonts w:hint="eastAsia"/>
                <w:color w:val="auto"/>
                <w:sz w:val="24"/>
                <w:highlight w:val="none"/>
                <w:lang w:val="en-US" w:eastAsia="zh-CN"/>
              </w:rPr>
              <w:t>④氧气</w:t>
            </w:r>
          </w:p>
          <w:p>
            <w:pPr>
              <w:spacing w:line="360" w:lineRule="auto"/>
              <w:ind w:firstLine="482"/>
              <w:rPr>
                <w:color w:val="auto"/>
                <w:sz w:val="24"/>
                <w:highlight w:val="none"/>
              </w:rPr>
            </w:pPr>
            <w:r>
              <w:rPr>
                <w:color w:val="auto"/>
                <w:sz w:val="24"/>
                <w:highlight w:val="none"/>
              </w:rPr>
              <w:t>a、泄漏应急处理</w:t>
            </w:r>
          </w:p>
          <w:p>
            <w:pPr>
              <w:spacing w:line="360" w:lineRule="auto"/>
              <w:ind w:firstLine="480"/>
              <w:rPr>
                <w:color w:val="auto"/>
                <w:sz w:val="24"/>
                <w:highlight w:val="none"/>
              </w:rPr>
            </w:pPr>
            <w:r>
              <w:rPr>
                <w:rFonts w:hint="eastAsia"/>
                <w:color w:val="auto"/>
                <w:sz w:val="24"/>
                <w:highlight w:val="none"/>
              </w:rPr>
              <w:t>一旦出现氧气泄漏，</w:t>
            </w:r>
            <w:r>
              <w:rPr>
                <w:color w:val="auto"/>
                <w:sz w:val="24"/>
                <w:highlight w:val="none"/>
              </w:rPr>
              <w:t>尽可能切断泄漏源</w:t>
            </w:r>
            <w:r>
              <w:rPr>
                <w:rFonts w:hint="eastAsia"/>
                <w:color w:val="auto"/>
                <w:sz w:val="24"/>
                <w:highlight w:val="none"/>
              </w:rPr>
              <w:t>，通知相关用氧科室停用氧气，并立即协调紧急处置，清理警戒区内的易燃易爆品，禁止明火，</w:t>
            </w:r>
            <w:r>
              <w:rPr>
                <w:color w:val="auto"/>
                <w:sz w:val="24"/>
                <w:highlight w:val="none"/>
              </w:rPr>
              <w:t>合理通风，加速扩散。漏气容器要妥善处理，修复、检验后再用。</w:t>
            </w:r>
          </w:p>
          <w:p>
            <w:pPr>
              <w:spacing w:line="360" w:lineRule="auto"/>
              <w:ind w:firstLine="482"/>
              <w:rPr>
                <w:color w:val="auto"/>
                <w:sz w:val="24"/>
                <w:highlight w:val="none"/>
              </w:rPr>
            </w:pPr>
            <w:r>
              <w:rPr>
                <w:color w:val="auto"/>
                <w:sz w:val="24"/>
                <w:highlight w:val="none"/>
              </w:rPr>
              <w:t>b、急救措施</w:t>
            </w:r>
          </w:p>
          <w:p>
            <w:pPr>
              <w:spacing w:line="360" w:lineRule="auto"/>
              <w:ind w:firstLine="480"/>
              <w:rPr>
                <w:color w:val="auto"/>
                <w:spacing w:val="-9"/>
                <w:sz w:val="24"/>
                <w:highlight w:val="none"/>
              </w:rPr>
            </w:pPr>
            <w:r>
              <w:rPr>
                <w:color w:val="auto"/>
                <w:sz w:val="24"/>
                <w:highlight w:val="none"/>
              </w:rPr>
              <w:t>吸入：迅速脱离现场至空气新鲜处</w:t>
            </w:r>
            <w:r>
              <w:rPr>
                <w:rFonts w:hint="eastAsia"/>
                <w:color w:val="auto"/>
                <w:sz w:val="24"/>
                <w:highlight w:val="none"/>
              </w:rPr>
              <w:t>，</w:t>
            </w:r>
            <w:r>
              <w:rPr>
                <w:color w:val="auto"/>
                <w:sz w:val="24"/>
                <w:highlight w:val="none"/>
              </w:rPr>
              <w:t>保持呼吸道通畅。</w:t>
            </w:r>
          </w:p>
          <w:p>
            <w:pPr>
              <w:spacing w:line="360" w:lineRule="auto"/>
              <w:ind w:firstLine="482"/>
              <w:rPr>
                <w:color w:val="auto"/>
                <w:sz w:val="24"/>
                <w:highlight w:val="none"/>
              </w:rPr>
            </w:pPr>
            <w:r>
              <w:rPr>
                <w:color w:val="auto"/>
                <w:sz w:val="24"/>
                <w:highlight w:val="none"/>
              </w:rPr>
              <w:t>c、消防措施</w:t>
            </w:r>
          </w:p>
          <w:p>
            <w:pPr>
              <w:spacing w:line="360" w:lineRule="auto"/>
              <w:ind w:firstLine="480"/>
              <w:rPr>
                <w:color w:val="auto"/>
                <w:sz w:val="24"/>
                <w:highlight w:val="none"/>
              </w:rPr>
            </w:pPr>
            <w:r>
              <w:rPr>
                <w:color w:val="auto"/>
                <w:sz w:val="24"/>
                <w:highlight w:val="none"/>
              </w:rPr>
              <w:t>灭火方法：用水保持容器冷却，以防受热爆炸，急剧助长火势。迅速切断气源，用水喷淋保护切断气源的人员，然后根据着火原因选择适当灭火剂灭火。</w:t>
            </w:r>
          </w:p>
          <w:p>
            <w:pPr>
              <w:keepNext w:val="0"/>
              <w:keepLines w:val="0"/>
              <w:pageBreakBefore w:val="0"/>
              <w:wordWrap/>
              <w:topLinePunct w:val="0"/>
              <w:bidi w:val="0"/>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eastAsia" w:cs="Times New Roman"/>
                <w:color w:val="auto"/>
                <w:sz w:val="24"/>
                <w:highlight w:val="none"/>
                <w:lang w:val="en-US" w:eastAsia="zh-CN"/>
              </w:rPr>
              <w:t>微生物实验过程微生物泄漏后的应急措施</w:t>
            </w:r>
          </w:p>
          <w:p>
            <w:pPr>
              <w:keepNext w:val="0"/>
              <w:keepLines w:val="0"/>
              <w:pageBreakBefore w:val="0"/>
              <w:wordWrap/>
              <w:topLinePunct w:val="0"/>
              <w:bidi w:val="0"/>
              <w:spacing w:line="360" w:lineRule="auto"/>
              <w:ind w:left="0" w:leftChars="0"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微生物泼洒或泄漏事故，实验室的主要应对措施包括：立即清理掉工作台、地板和设备上的微生物样本；对微生物样本和各受污染的物品（如包装袋、器皿等）进行灭活；采用合适的消毒剂对工作台、地板等进行化学消毒。</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为预防风险事故的发生，本项目需在环境风险防范上投入</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万元，主要风险防范措施及投资估算见表4-2</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w:t>
            </w:r>
          </w:p>
          <w:p>
            <w:pPr>
              <w:keepNext w:val="0"/>
              <w:keepLines w:val="0"/>
              <w:pageBreakBefore w:val="0"/>
              <w:wordWrap/>
              <w:topLinePunct w:val="0"/>
              <w:bidi w:val="0"/>
              <w:spacing w:line="360" w:lineRule="auto"/>
              <w:ind w:left="0" w:leftChars="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表4-2</w:t>
            </w:r>
            <w:r>
              <w:rPr>
                <w:rFonts w:hint="eastAsia" w:eastAsia="黑体" w:cs="Times New Roman"/>
                <w:color w:val="auto"/>
                <w:szCs w:val="21"/>
                <w:highlight w:val="none"/>
                <w:lang w:val="en-US" w:eastAsia="zh-CN"/>
              </w:rPr>
              <w:t>1</w:t>
            </w:r>
            <w:r>
              <w:rPr>
                <w:rFonts w:hint="default" w:ascii="Times New Roman" w:hAnsi="Times New Roman" w:eastAsia="黑体" w:cs="Times New Roman"/>
                <w:color w:val="auto"/>
                <w:szCs w:val="21"/>
                <w:highlight w:val="none"/>
              </w:rPr>
              <w:t xml:space="preserve">  本项目风险防范措施一览表</w:t>
            </w:r>
          </w:p>
          <w:tbl>
            <w:tblPr>
              <w:tblStyle w:val="20"/>
              <w:tblW w:w="9079" w:type="dxa"/>
              <w:jc w:val="center"/>
              <w:tblLayout w:type="fixed"/>
              <w:tblCellMar>
                <w:top w:w="0" w:type="dxa"/>
                <w:left w:w="0" w:type="dxa"/>
                <w:bottom w:w="0" w:type="dxa"/>
                <w:right w:w="0" w:type="dxa"/>
              </w:tblCellMar>
            </w:tblPr>
            <w:tblGrid>
              <w:gridCol w:w="534"/>
              <w:gridCol w:w="3291"/>
              <w:gridCol w:w="1066"/>
              <w:gridCol w:w="954"/>
              <w:gridCol w:w="2279"/>
              <w:gridCol w:w="955"/>
            </w:tblGrid>
            <w:tr>
              <w:tblPrEx>
                <w:tblCellMar>
                  <w:top w:w="0" w:type="dxa"/>
                  <w:left w:w="0" w:type="dxa"/>
                  <w:bottom w:w="0" w:type="dxa"/>
                  <w:right w:w="0" w:type="dxa"/>
                </w:tblCellMar>
              </w:tblPrEx>
              <w:trPr>
                <w:jc w:val="center"/>
              </w:trPr>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风险防范措施</w:t>
                  </w:r>
                </w:p>
              </w:tc>
              <w:tc>
                <w:tcPr>
                  <w:tcW w:w="5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设置位置</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结构要求</w:t>
                  </w:r>
                </w:p>
              </w:tc>
              <w:tc>
                <w:tcPr>
                  <w:tcW w:w="1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c>
                <w:tcPr>
                  <w:tcW w:w="5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风险投资（万元）</w:t>
                  </w:r>
                </w:p>
              </w:tc>
            </w:tr>
            <w:tr>
              <w:tblPrEx>
                <w:tblCellMar>
                  <w:top w:w="0" w:type="dxa"/>
                  <w:left w:w="0" w:type="dxa"/>
                  <w:bottom w:w="0" w:type="dxa"/>
                  <w:right w:w="0" w:type="dxa"/>
                </w:tblCellMar>
              </w:tblPrEx>
              <w:trPr>
                <w:jc w:val="center"/>
              </w:trPr>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医疗废物日产日清</w:t>
                  </w:r>
                </w:p>
              </w:tc>
              <w:tc>
                <w:tcPr>
                  <w:tcW w:w="5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医疗废物暂存间</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防渗处理</w:t>
                  </w:r>
                </w:p>
              </w:tc>
              <w:tc>
                <w:tcPr>
                  <w:tcW w:w="1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严格选择运输路线，委托有处理资质单位处理</w:t>
                  </w:r>
                </w:p>
              </w:tc>
              <w:tc>
                <w:tcPr>
                  <w:tcW w:w="5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计入危废处理合同</w:t>
                  </w:r>
                </w:p>
              </w:tc>
            </w:tr>
            <w:tr>
              <w:tblPrEx>
                <w:tblCellMar>
                  <w:top w:w="0" w:type="dxa"/>
                  <w:left w:w="0" w:type="dxa"/>
                  <w:bottom w:w="0" w:type="dxa"/>
                  <w:right w:w="0" w:type="dxa"/>
                </w:tblCellMar>
              </w:tblPrEx>
              <w:trPr>
                <w:jc w:val="center"/>
              </w:trPr>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一体化污水处理设施</w:t>
                  </w:r>
                  <w:r>
                    <w:rPr>
                      <w:rFonts w:hint="default" w:ascii="Times New Roman" w:hAnsi="Times New Roman" w:cs="Times New Roman"/>
                      <w:color w:val="auto"/>
                      <w:szCs w:val="21"/>
                      <w:highlight w:val="none"/>
                    </w:rPr>
                    <w:t>运行自动化，采用自动投药、数据记录专人专岗等</w:t>
                  </w:r>
                  <w:r>
                    <w:rPr>
                      <w:rFonts w:hint="eastAsia" w:cs="Times New Roman"/>
                      <w:color w:val="auto"/>
                      <w:szCs w:val="21"/>
                      <w:highlight w:val="none"/>
                      <w:lang w:eastAsia="zh-CN"/>
                    </w:rPr>
                    <w:t>，按照监测计划开展污染物监测</w:t>
                  </w:r>
                </w:p>
              </w:tc>
              <w:tc>
                <w:tcPr>
                  <w:tcW w:w="5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一体化污水处理设施</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预防废水事故排放</w:t>
                  </w:r>
                </w:p>
              </w:tc>
              <w:tc>
                <w:tcPr>
                  <w:tcW w:w="5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tblPrEx>
                <w:tblCellMar>
                  <w:top w:w="0" w:type="dxa"/>
                  <w:left w:w="0" w:type="dxa"/>
                  <w:bottom w:w="0" w:type="dxa"/>
                  <w:right w:w="0" w:type="dxa"/>
                </w:tblCellMar>
              </w:tblPrEx>
              <w:trPr>
                <w:jc w:val="center"/>
              </w:trPr>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3</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调节池兼事故应急池</w:t>
                  </w:r>
                </w:p>
              </w:tc>
              <w:tc>
                <w:tcPr>
                  <w:tcW w:w="5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一体化污水处理设施</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防渗处理</w:t>
                  </w:r>
                </w:p>
              </w:tc>
              <w:tc>
                <w:tcPr>
                  <w:tcW w:w="1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预防废水事故排放</w:t>
                  </w:r>
                </w:p>
              </w:tc>
              <w:tc>
                <w:tcPr>
                  <w:tcW w:w="5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计入工程投资</w:t>
                  </w:r>
                </w:p>
              </w:tc>
            </w:tr>
            <w:tr>
              <w:tblPrEx>
                <w:tblCellMar>
                  <w:top w:w="0" w:type="dxa"/>
                  <w:left w:w="0" w:type="dxa"/>
                  <w:bottom w:w="0" w:type="dxa"/>
                  <w:right w:w="0" w:type="dxa"/>
                </w:tblCellMar>
              </w:tblPrEx>
              <w:trPr>
                <w:jc w:val="center"/>
              </w:trPr>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4</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柴油储存间内按有关规范要求配置干粉沫化学灭火器，并对储存间地面作防渗处，对储存间地面作防渗处理</w:t>
                  </w:r>
                </w:p>
              </w:tc>
              <w:tc>
                <w:tcPr>
                  <w:tcW w:w="5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柴油储油间</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防渗处理</w:t>
                  </w:r>
                </w:p>
              </w:tc>
              <w:tc>
                <w:tcPr>
                  <w:tcW w:w="1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防泄漏</w:t>
                  </w:r>
                </w:p>
              </w:tc>
              <w:tc>
                <w:tcPr>
                  <w:tcW w:w="5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.0</w:t>
                  </w:r>
                </w:p>
              </w:tc>
            </w:tr>
            <w:tr>
              <w:tblPrEx>
                <w:tblCellMar>
                  <w:top w:w="0" w:type="dxa"/>
                  <w:left w:w="0" w:type="dxa"/>
                  <w:bottom w:w="0" w:type="dxa"/>
                  <w:right w:w="0" w:type="dxa"/>
                </w:tblCellMar>
              </w:tblPrEx>
              <w:trPr>
                <w:jc w:val="center"/>
              </w:trPr>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制定</w:t>
                  </w:r>
                  <w:r>
                    <w:rPr>
                      <w:rFonts w:hint="default" w:ascii="Times New Roman" w:hAnsi="Times New Roman" w:cs="Times New Roman"/>
                      <w:color w:val="auto"/>
                      <w:szCs w:val="21"/>
                      <w:highlight w:val="none"/>
                    </w:rPr>
                    <w:t>切合企业实际情况的应急预案</w:t>
                  </w:r>
                </w:p>
              </w:tc>
              <w:tc>
                <w:tcPr>
                  <w:tcW w:w="5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每年培训、演练；按消防部门要求配备消防设施</w:t>
                  </w:r>
                </w:p>
              </w:tc>
              <w:tc>
                <w:tcPr>
                  <w:tcW w:w="5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tblPrEx>
                <w:tblCellMar>
                  <w:top w:w="0" w:type="dxa"/>
                  <w:left w:w="0" w:type="dxa"/>
                  <w:bottom w:w="0" w:type="dxa"/>
                  <w:right w:w="0" w:type="dxa"/>
                </w:tblCellMar>
              </w:tblPrEx>
              <w:trPr>
                <w:jc w:val="center"/>
              </w:trPr>
              <w:tc>
                <w:tcPr>
                  <w:tcW w:w="4473"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总计</w:t>
                  </w:r>
                </w:p>
              </w:tc>
              <w:tc>
                <w:tcPr>
                  <w:tcW w:w="5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.0</w:t>
                  </w:r>
                </w:p>
              </w:tc>
            </w:tr>
          </w:tbl>
          <w:p>
            <w:pPr>
              <w:keepNext w:val="0"/>
              <w:keepLines w:val="0"/>
              <w:pageBreakBefore w:val="0"/>
              <w:wordWrap/>
              <w:topLinePunct w:val="0"/>
              <w:bidi w:val="0"/>
              <w:spacing w:line="360" w:lineRule="auto"/>
              <w:ind w:left="0" w:leftChars="0" w:firstLine="482" w:firstLineChars="200"/>
              <w:outlineLvl w:val="1"/>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6、环境风险结论</w:t>
            </w:r>
          </w:p>
          <w:p>
            <w:pPr>
              <w:keepNext w:val="0"/>
              <w:keepLines w:val="0"/>
              <w:pageBreakBefore w:val="0"/>
              <w:wordWrap/>
              <w:topLinePunct w:val="0"/>
              <w:bidi w:val="0"/>
              <w:spacing w:line="360" w:lineRule="auto"/>
              <w:ind w:left="0" w:leftChars="0"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本项目环境风险简单分析内容见表4-2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表4-2</w:t>
            </w:r>
            <w:r>
              <w:rPr>
                <w:rFonts w:hint="eastAsia"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 xml:space="preserve">   建设项目环境风险简单分析内容表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954"/>
              <w:gridCol w:w="2235"/>
              <w:gridCol w:w="956"/>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建设项目名称</w:t>
                  </w:r>
                </w:p>
              </w:tc>
              <w:tc>
                <w:tcPr>
                  <w:tcW w:w="3817"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宣汉同盛医院建设项目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四川省</w:t>
                  </w:r>
                </w:p>
              </w:tc>
              <w:tc>
                <w:tcPr>
                  <w:tcW w:w="1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达州市</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宣汉县</w:t>
                  </w:r>
                </w:p>
              </w:tc>
              <w:tc>
                <w:tcPr>
                  <w:tcW w:w="1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蒲江街道骏杰汽贸园二号楼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经度</w:t>
                  </w:r>
                </w:p>
              </w:tc>
              <w:tc>
                <w:tcPr>
                  <w:tcW w:w="1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107</w:t>
                  </w:r>
                  <w:r>
                    <w:rPr>
                      <w:rFonts w:hint="eastAsia" w:cs="Times New Roman"/>
                      <w:color w:val="auto"/>
                      <w:szCs w:val="21"/>
                      <w:highlight w:val="none"/>
                      <w:lang w:eastAsia="zh-CN"/>
                    </w:rPr>
                    <w:t>度</w:t>
                  </w:r>
                  <w:r>
                    <w:rPr>
                      <w:rFonts w:hint="eastAsia" w:cs="Times New Roman"/>
                      <w:color w:val="auto"/>
                      <w:szCs w:val="21"/>
                      <w:highlight w:val="none"/>
                      <w:lang w:val="en-US" w:eastAsia="zh-CN"/>
                    </w:rPr>
                    <w:t>42</w:t>
                  </w:r>
                  <w:r>
                    <w:rPr>
                      <w:rFonts w:hint="eastAsia" w:cs="Times New Roman"/>
                      <w:color w:val="auto"/>
                      <w:szCs w:val="21"/>
                      <w:highlight w:val="none"/>
                      <w:lang w:eastAsia="zh-CN"/>
                    </w:rPr>
                    <w:t>分</w:t>
                  </w:r>
                  <w:r>
                    <w:rPr>
                      <w:rFonts w:hint="eastAsia" w:cs="Times New Roman"/>
                      <w:color w:val="auto"/>
                      <w:szCs w:val="21"/>
                      <w:highlight w:val="none"/>
                      <w:lang w:val="en-US" w:eastAsia="zh-CN"/>
                    </w:rPr>
                    <w:t>33.640</w:t>
                  </w:r>
                  <w:r>
                    <w:rPr>
                      <w:rFonts w:hint="eastAsia" w:cs="Times New Roman"/>
                      <w:color w:val="auto"/>
                      <w:szCs w:val="21"/>
                      <w:highlight w:val="none"/>
                      <w:lang w:eastAsia="zh-CN"/>
                    </w:rPr>
                    <w:t>秒</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纬度</w:t>
                  </w:r>
                </w:p>
              </w:tc>
              <w:tc>
                <w:tcPr>
                  <w:tcW w:w="1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31</w:t>
                  </w:r>
                  <w:r>
                    <w:rPr>
                      <w:rFonts w:hint="eastAsia" w:cs="Times New Roman"/>
                      <w:color w:val="auto"/>
                      <w:szCs w:val="21"/>
                      <w:highlight w:val="none"/>
                      <w:lang w:eastAsia="zh-CN"/>
                    </w:rPr>
                    <w:t>度</w:t>
                  </w:r>
                  <w:r>
                    <w:rPr>
                      <w:rFonts w:hint="eastAsia" w:cs="Times New Roman"/>
                      <w:color w:val="auto"/>
                      <w:szCs w:val="21"/>
                      <w:highlight w:val="none"/>
                      <w:lang w:val="en-US" w:eastAsia="zh-CN"/>
                    </w:rPr>
                    <w:t>22</w:t>
                  </w:r>
                  <w:r>
                    <w:rPr>
                      <w:rFonts w:hint="eastAsia" w:cs="Times New Roman"/>
                      <w:color w:val="auto"/>
                      <w:szCs w:val="21"/>
                      <w:highlight w:val="none"/>
                      <w:lang w:eastAsia="zh-CN"/>
                    </w:rPr>
                    <w:t>分</w:t>
                  </w:r>
                  <w:r>
                    <w:rPr>
                      <w:rFonts w:hint="eastAsia" w:cs="Times New Roman"/>
                      <w:color w:val="auto"/>
                      <w:szCs w:val="21"/>
                      <w:highlight w:val="none"/>
                      <w:lang w:val="en-US" w:eastAsia="zh-CN"/>
                    </w:rPr>
                    <w:t>15.000</w:t>
                  </w:r>
                  <w:r>
                    <w:rPr>
                      <w:rFonts w:hint="eastAsia" w:cs="Times New Roman"/>
                      <w:color w:val="auto"/>
                      <w:szCs w:val="21"/>
                      <w:highlight w:val="none"/>
                      <w:lang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主要危险物质及分布</w:t>
                  </w:r>
                </w:p>
              </w:tc>
              <w:tc>
                <w:tcPr>
                  <w:tcW w:w="3817"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库房</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医用酒精；一体化污水处理设施操作间</w:t>
                  </w:r>
                  <w:r>
                    <w:rPr>
                      <w:rFonts w:hint="default" w:ascii="Times New Roman" w:hAnsi="Times New Roman" w:cs="Times New Roman"/>
                      <w:color w:val="auto"/>
                      <w:szCs w:val="21"/>
                      <w:highlight w:val="none"/>
                    </w:rPr>
                    <w:t>：次氯酸钠</w:t>
                  </w:r>
                  <w:r>
                    <w:rPr>
                      <w:rFonts w:hint="eastAsia" w:cs="Times New Roman"/>
                      <w:color w:val="auto"/>
                      <w:szCs w:val="21"/>
                      <w:highlight w:val="none"/>
                      <w:lang w:eastAsia="zh-CN"/>
                    </w:rPr>
                    <w:t>；</w:t>
                  </w:r>
                  <w:r>
                    <w:rPr>
                      <w:rFonts w:hint="eastAsia" w:cs="Times New Roman"/>
                      <w:color w:val="auto"/>
                      <w:szCs w:val="21"/>
                      <w:highlight w:val="none"/>
                      <w:lang w:val="en-US" w:eastAsia="zh-CN"/>
                    </w:rPr>
                    <w:t>柴油</w:t>
                  </w:r>
                  <w:r>
                    <w:rPr>
                      <w:rFonts w:hint="default" w:ascii="Times New Roman" w:hAnsi="Times New Roman" w:cs="Times New Roman"/>
                      <w:color w:val="auto"/>
                      <w:highlight w:val="none"/>
                    </w:rPr>
                    <w:t>发电机房</w:t>
                  </w:r>
                  <w:r>
                    <w:rPr>
                      <w:rFonts w:hint="eastAsia" w:cs="Times New Roman"/>
                      <w:color w:val="auto"/>
                      <w:highlight w:val="none"/>
                      <w:lang w:val="en-US" w:eastAsia="zh-CN"/>
                    </w:rPr>
                    <w:t>储油间</w:t>
                  </w:r>
                  <w:r>
                    <w:rPr>
                      <w:rFonts w:hint="default" w:ascii="Times New Roman" w:hAnsi="Times New Roman" w:cs="Times New Roman"/>
                      <w:color w:val="auto"/>
                      <w:highlight w:val="none"/>
                    </w:rPr>
                    <w:t>：柴油</w:t>
                  </w:r>
                  <w:r>
                    <w:rPr>
                      <w:rFonts w:hint="eastAsia" w:cs="Times New Roman"/>
                      <w:color w:val="auto"/>
                      <w:highlight w:val="none"/>
                      <w:lang w:eastAsia="zh-CN"/>
                    </w:rPr>
                    <w:t>；</w:t>
                  </w:r>
                  <w:r>
                    <w:rPr>
                      <w:rFonts w:hint="eastAsia" w:cs="Times New Roman"/>
                      <w:color w:val="auto"/>
                      <w:highlight w:val="none"/>
                      <w:lang w:val="en-US" w:eastAsia="zh-CN"/>
                    </w:rPr>
                    <w:t>医用制氧机（氧气罐）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环境影响途径及危害后果（大气、地表水、地下水等）</w:t>
                  </w:r>
                </w:p>
              </w:tc>
              <w:tc>
                <w:tcPr>
                  <w:tcW w:w="3817"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大气：危险物质泄漏后挥发进入大气，污染大气环境；易燃物质遇明火产生火灾或爆炸引起大气环境污染事故；化学品泄漏挥发污染物进入大气。</w:t>
                  </w:r>
                </w:p>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地表水：危险物质泄漏对周围地面和建筑造成腐蚀，可能污染地下水、地表水；</w:t>
                  </w:r>
                  <w:r>
                    <w:rPr>
                      <w:rFonts w:hint="eastAsia" w:cs="Times New Roman"/>
                      <w:color w:val="auto"/>
                      <w:szCs w:val="21"/>
                      <w:highlight w:val="none"/>
                      <w:lang w:val="en-US" w:eastAsia="zh-CN"/>
                    </w:rPr>
                    <w:t>一体化污水处理设施</w:t>
                  </w:r>
                  <w:r>
                    <w:rPr>
                      <w:rFonts w:hint="default" w:ascii="Times New Roman" w:hAnsi="Times New Roman" w:cs="Times New Roman"/>
                      <w:color w:val="auto"/>
                      <w:szCs w:val="21"/>
                      <w:highlight w:val="none"/>
                    </w:rPr>
                    <w:t>废水事故排放，造成泄漏。</w:t>
                  </w:r>
                </w:p>
                <w:p>
                  <w:pPr>
                    <w:keepNext w:val="0"/>
                    <w:keepLines w:val="0"/>
                    <w:pageBreakBefore w:val="0"/>
                    <w:wordWrap/>
                    <w:topLinePunct w:val="0"/>
                    <w:bidi w:val="0"/>
                    <w:spacing w:line="240" w:lineRule="auto"/>
                    <w:ind w:left="0" w:leftChars="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地下水：危险化学品、危险废物泄漏，污染地下水环境</w:t>
                  </w:r>
                  <w:r>
                    <w:rPr>
                      <w:rFonts w:hint="eastAsia"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风险防范措施要求</w:t>
                  </w:r>
                </w:p>
              </w:tc>
              <w:tc>
                <w:tcPr>
                  <w:tcW w:w="3817"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1、严格管理危险化学品，</w:t>
                  </w:r>
                  <w:r>
                    <w:rPr>
                      <w:rFonts w:hint="eastAsia" w:cs="Times New Roman"/>
                      <w:color w:val="auto"/>
                      <w:szCs w:val="21"/>
                      <w:highlight w:val="none"/>
                      <w:lang w:val="en-US" w:eastAsia="zh-CN"/>
                    </w:rPr>
                    <w:t>氧气罐</w:t>
                  </w:r>
                  <w:r>
                    <w:rPr>
                      <w:color w:val="auto"/>
                      <w:szCs w:val="21"/>
                      <w:highlight w:val="none"/>
                    </w:rPr>
                    <w:t>严禁存放其他可燃气瓶和油脂类物品，</w:t>
                  </w:r>
                  <w:r>
                    <w:rPr>
                      <w:rFonts w:hint="default" w:ascii="Times New Roman" w:hAnsi="Times New Roman" w:cs="Times New Roman"/>
                      <w:color w:val="auto"/>
                      <w:szCs w:val="21"/>
                      <w:highlight w:val="none"/>
                    </w:rPr>
                    <w:t>设置警示标牌，规范管理，落实防火、防爆设计要求，配备足够的消防器材。</w:t>
                  </w:r>
                </w:p>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2、加强</w:t>
                  </w:r>
                  <w:r>
                    <w:rPr>
                      <w:rFonts w:hint="eastAsia" w:cs="Times New Roman"/>
                      <w:color w:val="auto"/>
                      <w:szCs w:val="21"/>
                      <w:highlight w:val="none"/>
                      <w:lang w:val="en-US" w:eastAsia="zh-CN"/>
                    </w:rPr>
                    <w:t>一体化污水处理设施操作间</w:t>
                  </w:r>
                  <w:r>
                    <w:rPr>
                      <w:rFonts w:hint="default" w:ascii="Times New Roman" w:hAnsi="Times New Roman" w:cs="Times New Roman"/>
                      <w:color w:val="auto"/>
                      <w:szCs w:val="21"/>
                      <w:highlight w:val="none"/>
                    </w:rPr>
                    <w:t>药品管理，</w:t>
                  </w:r>
                  <w:r>
                    <w:rPr>
                      <w:rFonts w:hint="eastAsia" w:cs="Times New Roman"/>
                      <w:color w:val="auto"/>
                      <w:szCs w:val="21"/>
                      <w:highlight w:val="none"/>
                      <w:lang w:val="en-US" w:eastAsia="zh-CN"/>
                    </w:rPr>
                    <w:t>一体化污水处理设施</w:t>
                  </w:r>
                  <w:r>
                    <w:rPr>
                      <w:rFonts w:hint="default" w:ascii="Times New Roman" w:hAnsi="Times New Roman" w:cs="Times New Roman"/>
                      <w:color w:val="auto"/>
                      <w:szCs w:val="21"/>
                      <w:highlight w:val="none"/>
                    </w:rPr>
                    <w:t>定期检修，设置事故应急池，防止事故废水排放。</w:t>
                  </w:r>
                </w:p>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3、严格执行环评及相关法律法规要求，定期开展设备维护，保证其有效运行和去除效率；制定环境风险应急预案。</w:t>
                  </w:r>
                </w:p>
                <w:p>
                  <w:pPr>
                    <w:keepNext w:val="0"/>
                    <w:keepLines w:val="0"/>
                    <w:pageBreakBefore w:val="0"/>
                    <w:wordWrap/>
                    <w:topLinePunct w:val="0"/>
                    <w:bidi w:val="0"/>
                    <w:spacing w:line="240" w:lineRule="auto"/>
                    <w:ind w:left="0" w:leftChars="0"/>
                    <w:rPr>
                      <w:rFonts w:hint="eastAsia" w:cs="Times New Roman"/>
                      <w:color w:val="auto"/>
                      <w:szCs w:val="21"/>
                      <w:highlight w:val="none"/>
                      <w:lang w:eastAsia="zh-CN"/>
                    </w:rPr>
                  </w:pPr>
                  <w:r>
                    <w:rPr>
                      <w:rFonts w:hint="default" w:ascii="Times New Roman" w:hAnsi="Times New Roman" w:cs="Times New Roman"/>
                      <w:color w:val="auto"/>
                      <w:szCs w:val="21"/>
                      <w:highlight w:val="none"/>
                    </w:rPr>
                    <w:t>4、预防可能产生的生物安全污染事故，发生后及时采取应急措施，对现场进行消毒和人员隔离观察等</w:t>
                  </w:r>
                  <w:r>
                    <w:rPr>
                      <w:rFonts w:hint="eastAsia" w:cs="Times New Roman"/>
                      <w:color w:val="auto"/>
                      <w:szCs w:val="21"/>
                      <w:highlight w:val="none"/>
                      <w:lang w:eastAsia="zh-CN"/>
                    </w:rPr>
                    <w:t>。</w:t>
                  </w:r>
                </w:p>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eastAsia"/>
                      <w:color w:val="auto"/>
                      <w:highlight w:val="none"/>
                      <w:lang w:val="en-US" w:eastAsia="zh-CN"/>
                    </w:rPr>
                    <w:t>5、</w:t>
                  </w:r>
                  <w:r>
                    <w:rPr>
                      <w:color w:val="auto"/>
                      <w:highlight w:val="none"/>
                    </w:rPr>
                    <w:t>制定环境风险应急预案</w:t>
                  </w:r>
                  <w:r>
                    <w:rPr>
                      <w:rFonts w:hint="default"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填表说明（列出项目相关信息及评价说明）：</w:t>
                  </w:r>
                </w:p>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本项目主要危险物质为次氯酸钠、</w:t>
                  </w:r>
                  <w:r>
                    <w:rPr>
                      <w:rFonts w:hint="eastAsia" w:cs="Times New Roman"/>
                      <w:color w:val="auto"/>
                      <w:szCs w:val="21"/>
                      <w:highlight w:val="none"/>
                      <w:lang w:val="en-US" w:eastAsia="zh-CN"/>
                    </w:rPr>
                    <w:t>柴油</w:t>
                  </w:r>
                  <w:r>
                    <w:rPr>
                      <w:rFonts w:hint="default" w:ascii="Times New Roman" w:hAnsi="Times New Roman" w:cs="Times New Roman"/>
                      <w:color w:val="auto"/>
                      <w:highlight w:val="none"/>
                    </w:rPr>
                    <w:t>、医用酒精</w:t>
                  </w:r>
                  <w:r>
                    <w:rPr>
                      <w:rFonts w:hint="eastAsia" w:cs="Times New Roman"/>
                      <w:color w:val="auto"/>
                      <w:highlight w:val="none"/>
                      <w:lang w:eastAsia="zh-CN"/>
                    </w:rPr>
                    <w:t>、</w:t>
                  </w:r>
                  <w:r>
                    <w:rPr>
                      <w:rFonts w:hint="eastAsia" w:cs="Times New Roman"/>
                      <w:color w:val="auto"/>
                      <w:highlight w:val="none"/>
                      <w:lang w:val="en-US" w:eastAsia="zh-CN"/>
                    </w:rPr>
                    <w:t>氧气等</w:t>
                  </w:r>
                  <w:r>
                    <w:rPr>
                      <w:rFonts w:hint="default" w:ascii="Times New Roman" w:hAnsi="Times New Roman" w:cs="Times New Roman"/>
                      <w:color w:val="auto"/>
                      <w:szCs w:val="21"/>
                      <w:highlight w:val="none"/>
                    </w:rPr>
                    <w:t>，项目环境风险潜势为I，评价等级为简单分析，在落实环评提出的风险防范措施后，环境风险可控。</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八、环保投资</w:t>
            </w:r>
          </w:p>
          <w:p>
            <w:pPr>
              <w:keepNext w:val="0"/>
              <w:keepLines w:val="0"/>
              <w:pageBreakBefore w:val="0"/>
              <w:wordWrap/>
              <w:topLinePunct w:val="0"/>
              <w:bidi w:val="0"/>
              <w:spacing w:line="360" w:lineRule="auto"/>
              <w:ind w:left="0"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本项目建设总投资</w:t>
            </w:r>
            <w:r>
              <w:rPr>
                <w:rFonts w:hint="eastAsia" w:cs="Times New Roman"/>
                <w:color w:val="auto"/>
                <w:sz w:val="24"/>
                <w:highlight w:val="none"/>
                <w:lang w:val="en-US" w:eastAsia="zh-CN"/>
              </w:rPr>
              <w:t>1000</w:t>
            </w:r>
            <w:r>
              <w:rPr>
                <w:rFonts w:hint="default" w:ascii="Times New Roman" w:hAnsi="Times New Roman" w:cs="Times New Roman"/>
                <w:color w:val="auto"/>
                <w:sz w:val="24"/>
                <w:highlight w:val="none"/>
              </w:rPr>
              <w:t>万元，环保投资约</w:t>
            </w:r>
            <w:r>
              <w:rPr>
                <w:rFonts w:hint="eastAsia" w:cs="Times New Roman"/>
                <w:color w:val="auto"/>
                <w:sz w:val="24"/>
                <w:highlight w:val="none"/>
                <w:lang w:val="en-US" w:eastAsia="zh-CN"/>
              </w:rPr>
              <w:t>197.52</w:t>
            </w:r>
            <w:r>
              <w:rPr>
                <w:rFonts w:hint="default" w:ascii="Times New Roman" w:hAnsi="Times New Roman" w:cs="Times New Roman"/>
                <w:color w:val="auto"/>
                <w:sz w:val="24"/>
                <w:highlight w:val="none"/>
              </w:rPr>
              <w:t>万元，占总投资的</w:t>
            </w:r>
            <w:r>
              <w:rPr>
                <w:rFonts w:hint="eastAsia" w:cs="Times New Roman"/>
                <w:color w:val="auto"/>
                <w:sz w:val="24"/>
                <w:highlight w:val="none"/>
                <w:lang w:val="en-US" w:eastAsia="zh-CN"/>
              </w:rPr>
              <w:t>19.75%</w:t>
            </w:r>
            <w:r>
              <w:rPr>
                <w:rFonts w:hint="default" w:ascii="Times New Roman" w:hAnsi="Times New Roman" w:cs="Times New Roman"/>
                <w:color w:val="auto"/>
                <w:sz w:val="24"/>
                <w:highlight w:val="none"/>
              </w:rPr>
              <w:t>。本项目环保设施及投资估算见表4-2</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pPr>
              <w:keepNext w:val="0"/>
              <w:keepLines w:val="0"/>
              <w:pageBreakBefore w:val="0"/>
              <w:wordWrap/>
              <w:topLinePunct w:val="0"/>
              <w:bidi w:val="0"/>
              <w:spacing w:line="360" w:lineRule="auto"/>
              <w:ind w:left="0" w:leftChars="0" w:firstLine="48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表4-2</w:t>
            </w:r>
            <w:r>
              <w:rPr>
                <w:rFonts w:hint="eastAsia" w:eastAsia="黑体" w:cs="Times New Roman"/>
                <w:color w:val="auto"/>
                <w:szCs w:val="21"/>
                <w:highlight w:val="none"/>
                <w:lang w:val="en-US" w:eastAsia="zh-CN"/>
              </w:rPr>
              <w:t>3</w:t>
            </w:r>
            <w:r>
              <w:rPr>
                <w:rFonts w:hint="default" w:ascii="Times New Roman" w:hAnsi="Times New Roman" w:eastAsia="黑体" w:cs="Times New Roman"/>
                <w:color w:val="auto"/>
                <w:szCs w:val="21"/>
                <w:highlight w:val="none"/>
              </w:rPr>
              <w:t xml:space="preserve">  环保投资估算一览表    单位：万元</w:t>
            </w:r>
          </w:p>
          <w:tbl>
            <w:tblPr>
              <w:tblStyle w:val="20"/>
              <w:tblW w:w="9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02"/>
              <w:gridCol w:w="5496"/>
              <w:gridCol w:w="1214"/>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3401" w:type="pct"/>
                  <w:gridSpan w:val="2"/>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内容</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投资额</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废气治理</w:t>
                  </w:r>
                </w:p>
              </w:tc>
              <w:tc>
                <w:tcPr>
                  <w:tcW w:w="38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w:t>
                  </w: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rPr>
                    <w:t>设置施工围挡，围挡上方设置喷雾式喷淋降尘设施</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4</w:t>
                  </w:r>
                  <w:r>
                    <w:rPr>
                      <w:rFonts w:hint="eastAsia" w:cs="Times New Roman"/>
                      <w:color w:val="auto"/>
                      <w:szCs w:val="21"/>
                      <w:highlight w:val="none"/>
                      <w:lang w:val="en-US" w:eastAsia="zh-CN"/>
                    </w:rPr>
                    <w:t>.0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rPr>
                    <w:t>施工场地洒水降尘，施工原材料采用防尘网进行</w:t>
                  </w:r>
                  <w:r>
                    <w:rPr>
                      <w:rFonts w:hint="eastAsia" w:ascii="Times New Roman" w:hAnsi="Times New Roman" w:cs="Times New Roman"/>
                      <w:color w:val="auto"/>
                      <w:highlight w:val="none"/>
                      <w:vertAlign w:val="baseline"/>
                      <w:lang w:val="en-US" w:eastAsia="zh-CN"/>
                    </w:rPr>
                    <w:t>遮盖。</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营运期</w:t>
                  </w: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病区含菌空气：</w:t>
                  </w:r>
                  <w:r>
                    <w:rPr>
                      <w:rFonts w:hint="eastAsia"/>
                      <w:color w:val="auto"/>
                      <w:szCs w:val="21"/>
                      <w:highlight w:val="none"/>
                    </w:rPr>
                    <w:t>对病房区、走廊、各科诊室和</w:t>
                  </w:r>
                  <w:r>
                    <w:rPr>
                      <w:rFonts w:hint="eastAsia"/>
                      <w:color w:val="auto"/>
                      <w:szCs w:val="21"/>
                      <w:highlight w:val="none"/>
                      <w:lang w:eastAsia="zh-CN"/>
                    </w:rPr>
                    <w:t>检验科</w:t>
                  </w:r>
                  <w:r>
                    <w:rPr>
                      <w:rFonts w:hint="eastAsia"/>
                      <w:color w:val="auto"/>
                      <w:szCs w:val="21"/>
                      <w:highlight w:val="none"/>
                      <w:lang w:val="en-US" w:eastAsia="zh-CN"/>
                    </w:rPr>
                    <w:t>等区域</w:t>
                  </w:r>
                  <w:r>
                    <w:rPr>
                      <w:rFonts w:hint="eastAsia"/>
                      <w:color w:val="auto"/>
                      <w:szCs w:val="21"/>
                      <w:highlight w:val="none"/>
                    </w:rPr>
                    <w:t>定期消毒处理，</w:t>
                  </w:r>
                  <w:r>
                    <w:rPr>
                      <w:rFonts w:hint="default" w:ascii="Times New Roman" w:hAnsi="Times New Roman" w:cs="Times New Roman"/>
                      <w:color w:val="auto"/>
                      <w:szCs w:val="21"/>
                      <w:highlight w:val="none"/>
                    </w:rPr>
                    <w:t>同时对住院病房区、手术室、</w:t>
                  </w:r>
                  <w:r>
                    <w:rPr>
                      <w:rFonts w:hint="default" w:ascii="Times New Roman" w:hAnsi="Times New Roman" w:cs="Times New Roman"/>
                      <w:color w:val="auto"/>
                      <w:szCs w:val="21"/>
                      <w:highlight w:val="none"/>
                      <w:lang w:val="en-US" w:eastAsia="zh-CN"/>
                    </w:rPr>
                    <w:t>实验区</w:t>
                  </w:r>
                  <w:r>
                    <w:rPr>
                      <w:rFonts w:hint="default" w:ascii="Times New Roman" w:hAnsi="Times New Roman" w:cs="Times New Roman"/>
                      <w:color w:val="auto"/>
                      <w:szCs w:val="21"/>
                      <w:highlight w:val="none"/>
                    </w:rPr>
                    <w:t>等设置独立的通风系统</w:t>
                  </w:r>
                  <w:r>
                    <w:rPr>
                      <w:rFonts w:hint="eastAsia"/>
                      <w:color w:val="auto"/>
                      <w:szCs w:val="21"/>
                      <w:highlight w:val="none"/>
                      <w:lang w:val="en-US" w:eastAsia="zh-CN"/>
                    </w:rPr>
                    <w:t>，并加装紫外线灯或等离子空气净化消毒机进行消毒灭菌。</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含病原微生物气溶胶废气：</w:t>
                  </w:r>
                  <w:r>
                    <w:rPr>
                      <w:rFonts w:hint="eastAsia"/>
                      <w:color w:val="auto"/>
                      <w:szCs w:val="21"/>
                      <w:highlight w:val="none"/>
                      <w:lang w:val="en-US" w:eastAsia="zh-CN"/>
                    </w:rPr>
                    <w:t>微生物实验室废气经“A2型生物安全柜+新风系统高效过滤器+紫外灯”消毒灭菌处理后由引风机从楼侧排处室外，同时在微生物实验室、无菌室、药剂准备室、标本制备室、扩增分析室各配置1台可移动紫外线灯</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15.0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eastAsia" w:cs="Times New Roman"/>
                      <w:b/>
                      <w:bCs/>
                      <w:color w:val="auto"/>
                      <w:kern w:val="2"/>
                      <w:sz w:val="21"/>
                      <w:szCs w:val="21"/>
                      <w:highlight w:val="none"/>
                      <w:lang w:val="en-US" w:eastAsia="zh-CN" w:bidi="ar-SA"/>
                    </w:rPr>
                    <w:t>医疗废物暂存间恶臭：</w:t>
                  </w:r>
                  <w:r>
                    <w:rPr>
                      <w:rFonts w:hint="eastAsia" w:cs="Times New Roman"/>
                      <w:color w:val="auto"/>
                      <w:kern w:val="2"/>
                      <w:sz w:val="21"/>
                      <w:szCs w:val="21"/>
                      <w:highlight w:val="none"/>
                      <w:lang w:val="en-US" w:eastAsia="zh-CN" w:bidi="ar-SA"/>
                    </w:rPr>
                    <w:t>医疗废物密封储存，加强管理，定期消毒，日产日清。</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color w:val="auto"/>
                      <w:szCs w:val="21"/>
                      <w:highlight w:val="none"/>
                    </w:rPr>
                    <w:t>柴油发电机废气：</w:t>
                  </w:r>
                  <w:r>
                    <w:rPr>
                      <w:rFonts w:hint="eastAsia"/>
                      <w:color w:val="auto"/>
                      <w:szCs w:val="21"/>
                      <w:highlight w:val="none"/>
                    </w:rPr>
                    <w:t>经设备自带的消烟除尘装置处理后</w:t>
                  </w:r>
                  <w:r>
                    <w:rPr>
                      <w:rFonts w:hint="eastAsia"/>
                      <w:color w:val="auto"/>
                      <w:szCs w:val="21"/>
                      <w:highlight w:val="none"/>
                      <w:lang w:val="en-US" w:eastAsia="zh-CN"/>
                    </w:rPr>
                    <w:t>排放。</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color w:val="auto"/>
                      <w:szCs w:val="21"/>
                      <w:highlight w:val="none"/>
                    </w:rPr>
                    <w:t>食堂油烟：</w:t>
                  </w:r>
                  <w:r>
                    <w:rPr>
                      <w:rFonts w:hint="default" w:ascii="Times New Roman" w:hAnsi="Times New Roman" w:cs="Times New Roman"/>
                      <w:color w:val="auto"/>
                      <w:szCs w:val="21"/>
                      <w:highlight w:val="none"/>
                    </w:rPr>
                    <w:t>采用高效油烟净化器（处理效率85%以上），食堂油烟经处理后由专用的油烟井引至</w:t>
                  </w:r>
                  <w:r>
                    <w:rPr>
                      <w:rFonts w:hint="eastAsia" w:cs="Times New Roman"/>
                      <w:color w:val="auto"/>
                      <w:szCs w:val="21"/>
                      <w:highlight w:val="none"/>
                      <w:lang w:eastAsia="zh-CN"/>
                    </w:rPr>
                    <w:t>食堂</w:t>
                  </w:r>
                  <w:r>
                    <w:rPr>
                      <w:rFonts w:hint="default" w:ascii="Times New Roman" w:hAnsi="Times New Roman" w:cs="Times New Roman"/>
                      <w:color w:val="auto"/>
                      <w:szCs w:val="21"/>
                      <w:highlight w:val="none"/>
                    </w:rPr>
                    <w:t>楼顶排放</w:t>
                  </w:r>
                  <w:r>
                    <w:rPr>
                      <w:rFonts w:hint="eastAsia" w:cs="Times New Roman"/>
                      <w:color w:val="auto"/>
                      <w:szCs w:val="21"/>
                      <w:highlight w:val="no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bCs/>
                      <w:color w:val="auto"/>
                      <w:szCs w:val="21"/>
                      <w:highlight w:val="none"/>
                      <w:lang w:val="en-US" w:eastAsia="zh-CN"/>
                    </w:rPr>
                    <w:t>一体化污水处理设施恶臭：</w:t>
                  </w:r>
                  <w:r>
                    <w:rPr>
                      <w:rFonts w:hint="eastAsia" w:cs="Times New Roman"/>
                      <w:b w:val="0"/>
                      <w:bCs w:val="0"/>
                      <w:color w:val="auto"/>
                      <w:szCs w:val="21"/>
                      <w:highlight w:val="none"/>
                      <w:lang w:val="en-US" w:eastAsia="zh-CN"/>
                    </w:rPr>
                    <w:t>在设施周边投加除臭剂、定期消毒等措施。</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eastAsia"/>
                      <w:b/>
                      <w:color w:val="auto"/>
                      <w:szCs w:val="21"/>
                      <w:highlight w:val="none"/>
                      <w:lang w:eastAsia="zh-CN"/>
                    </w:rPr>
                    <w:t>汽车尾气：</w:t>
                  </w:r>
                  <w:r>
                    <w:rPr>
                      <w:rFonts w:hint="eastAsia"/>
                      <w:color w:val="auto"/>
                      <w:szCs w:val="21"/>
                      <w:highlight w:val="none"/>
                      <w:lang w:val="en-US" w:eastAsia="zh-CN"/>
                    </w:rPr>
                    <w:t>产生量较小，自然扩散。</w:t>
                  </w:r>
                </w:p>
              </w:tc>
              <w:tc>
                <w:tcPr>
                  <w:tcW w:w="666"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479"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废水治理</w:t>
                  </w:r>
                </w:p>
              </w:tc>
              <w:tc>
                <w:tcPr>
                  <w:tcW w:w="38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w:t>
                  </w: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rPr>
                    <w:t>设</w:t>
                  </w:r>
                  <w:r>
                    <w:rPr>
                      <w:rFonts w:hint="eastAsia" w:ascii="Times New Roman" w:hAnsi="Times New Roman" w:cs="Times New Roman"/>
                      <w:color w:val="auto"/>
                      <w:highlight w:val="none"/>
                      <w:vertAlign w:val="baseline"/>
                      <w:lang w:val="en-US" w:eastAsia="zh-CN"/>
                    </w:rPr>
                    <w:t>隔油沉淀池</w:t>
                  </w:r>
                  <w:r>
                    <w:rPr>
                      <w:rFonts w:hint="default" w:ascii="Times New Roman" w:hAnsi="Times New Roman" w:cs="Times New Roman"/>
                      <w:color w:val="auto"/>
                      <w:highlight w:val="none"/>
                      <w:vertAlign w:val="baseline"/>
                    </w:rPr>
                    <w:t>1座，容积5m</w:t>
                  </w:r>
                  <w:r>
                    <w:rPr>
                      <w:rFonts w:hint="default" w:ascii="Times New Roman" w:hAnsi="Times New Roman" w:cs="Times New Roman"/>
                      <w:color w:val="auto"/>
                      <w:highlight w:val="none"/>
                    </w:rPr>
                    <w:t>3</w:t>
                  </w:r>
                  <w:r>
                    <w:rPr>
                      <w:rFonts w:hint="default" w:ascii="Times New Roman" w:hAnsi="Times New Roman" w:cs="Times New Roman"/>
                      <w:color w:val="auto"/>
                      <w:highlight w:val="none"/>
                      <w:vertAlign w:val="baseline"/>
                    </w:rPr>
                    <w:t>，用于处理施工废水</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b/>
                      <w:color w:val="auto"/>
                      <w:highlight w:val="none"/>
                      <w:vertAlign w:val="baseline"/>
                      <w:lang w:eastAsia="zh-CN"/>
                    </w:rPr>
                  </w:pPr>
                  <w:r>
                    <w:rPr>
                      <w:rFonts w:hint="default" w:ascii="Times New Roman" w:hAnsi="Times New Roman" w:cs="Times New Roman"/>
                      <w:color w:val="auto"/>
                      <w:highlight w:val="none"/>
                      <w:vertAlign w:val="baseline"/>
                    </w:rPr>
                    <w:t>堆放场地周围设置排水沟、进出口设置冲洗设施</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营运期</w:t>
                  </w: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eastAsia" w:cs="Times New Roman"/>
                      <w:b/>
                      <w:color w:val="auto"/>
                      <w:szCs w:val="21"/>
                      <w:highlight w:val="none"/>
                      <w:lang w:val="en-US" w:eastAsia="zh-CN"/>
                    </w:rPr>
                    <w:t>化粪池</w:t>
                  </w:r>
                  <w:r>
                    <w:rPr>
                      <w:rFonts w:hint="default" w:ascii="Times New Roman" w:hAnsi="Times New Roman" w:cs="Times New Roman"/>
                      <w:b/>
                      <w:color w:val="auto"/>
                      <w:szCs w:val="21"/>
                      <w:highlight w:val="none"/>
                    </w:rPr>
                    <w:t>：</w:t>
                  </w:r>
                  <w:r>
                    <w:rPr>
                      <w:rFonts w:hint="default" w:ascii="Times New Roman" w:hAnsi="Times New Roman" w:cs="Times New Roman"/>
                      <w:color w:val="auto"/>
                      <w:szCs w:val="21"/>
                      <w:highlight w:val="none"/>
                    </w:rPr>
                    <w:t>1个，</w:t>
                  </w:r>
                  <w:r>
                    <w:rPr>
                      <w:rFonts w:hint="eastAsia" w:cs="Times New Roman"/>
                      <w:b w:val="0"/>
                      <w:bCs w:val="0"/>
                      <w:color w:val="auto"/>
                      <w:szCs w:val="21"/>
                      <w:highlight w:val="none"/>
                      <w:lang w:val="en-US" w:eastAsia="zh-CN"/>
                    </w:rPr>
                    <w:t>设置于住院部南侧</w:t>
                  </w:r>
                  <w:r>
                    <w:rPr>
                      <w:rFonts w:hint="default" w:ascii="Times New Roman" w:hAnsi="Times New Roman" w:cs="Times New Roman"/>
                      <w:color w:val="auto"/>
                      <w:szCs w:val="21"/>
                      <w:highlight w:val="none"/>
                    </w:rPr>
                    <w:t>，容积为</w:t>
                  </w:r>
                  <w:r>
                    <w:rPr>
                      <w:rFonts w:hint="eastAsia" w:cs="Times New Roman"/>
                      <w:color w:val="auto"/>
                      <w:szCs w:val="21"/>
                      <w:highlight w:val="none"/>
                      <w:lang w:val="en-US" w:eastAsia="zh-CN"/>
                    </w:rPr>
                    <w:t>40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lang w:val="en-US" w:eastAsia="zh-CN"/>
                    </w:rPr>
                    <w:t>油水分离器</w:t>
                  </w:r>
                  <w:r>
                    <w:rPr>
                      <w:rFonts w:hint="default" w:ascii="Times New Roman" w:hAnsi="Times New Roman" w:cs="Times New Roman"/>
                      <w:b/>
                      <w:color w:val="auto"/>
                      <w:szCs w:val="21"/>
                      <w:highlight w:val="none"/>
                    </w:rPr>
                    <w:t>：</w:t>
                  </w:r>
                  <w:r>
                    <w:rPr>
                      <w:rFonts w:hint="default" w:ascii="Times New Roman" w:hAnsi="Times New Roman" w:cs="Times New Roman"/>
                      <w:color w:val="auto"/>
                      <w:szCs w:val="21"/>
                      <w:highlight w:val="none"/>
                    </w:rPr>
                    <w:t>1个，</w:t>
                  </w:r>
                  <w:r>
                    <w:rPr>
                      <w:rFonts w:hint="eastAsia" w:cs="Times New Roman"/>
                      <w:b w:val="0"/>
                      <w:bCs w:val="0"/>
                      <w:color w:val="auto"/>
                      <w:szCs w:val="21"/>
                      <w:highlight w:val="none"/>
                      <w:lang w:val="en-US" w:eastAsia="zh-CN"/>
                    </w:rPr>
                    <w:t>设置于厨房水池下，容积为2m</w:t>
                  </w:r>
                  <w:r>
                    <w:rPr>
                      <w:rFonts w:hint="eastAsia" w:cs="Times New Roman"/>
                      <w:b w:val="0"/>
                      <w:bCs w:val="0"/>
                      <w:color w:val="auto"/>
                      <w:szCs w:val="21"/>
                      <w:highlight w:val="none"/>
                      <w:vertAlign w:val="superscript"/>
                      <w:lang w:val="en-US" w:eastAsia="zh-CN"/>
                    </w:rPr>
                    <w:t>3</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0.5</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b/>
                      <w:color w:val="auto"/>
                      <w:szCs w:val="21"/>
                      <w:highlight w:val="none"/>
                      <w:lang w:val="en-US" w:eastAsia="zh-CN"/>
                    </w:rPr>
                  </w:pPr>
                  <w:r>
                    <w:rPr>
                      <w:rFonts w:hint="eastAsia" w:cs="Times New Roman"/>
                      <w:b/>
                      <w:bCs/>
                      <w:color w:val="auto"/>
                      <w:szCs w:val="21"/>
                      <w:highlight w:val="none"/>
                      <w:lang w:val="en-US" w:eastAsia="zh-CN"/>
                    </w:rPr>
                    <w:t>调节池：</w:t>
                  </w:r>
                  <w:r>
                    <w:rPr>
                      <w:rFonts w:hint="eastAsia" w:cs="Times New Roman"/>
                      <w:b w:val="0"/>
                      <w:bCs w:val="0"/>
                      <w:color w:val="auto"/>
                      <w:szCs w:val="21"/>
                      <w:highlight w:val="none"/>
                      <w:lang w:val="en-US" w:eastAsia="zh-CN"/>
                    </w:rPr>
                    <w:t>1个，容积为60m</w:t>
                  </w:r>
                  <w:r>
                    <w:rPr>
                      <w:rFonts w:hint="eastAsia" w:cs="Times New Roman"/>
                      <w:b w:val="0"/>
                      <w:bCs w:val="0"/>
                      <w:color w:val="auto"/>
                      <w:szCs w:val="21"/>
                      <w:highlight w:val="none"/>
                      <w:vertAlign w:val="superscript"/>
                      <w:lang w:val="en-US" w:eastAsia="zh-CN"/>
                    </w:rPr>
                    <w:t>3</w:t>
                  </w:r>
                  <w:r>
                    <w:rPr>
                      <w:rFonts w:hint="eastAsia" w:cs="Times New Roman"/>
                      <w:b w:val="0"/>
                      <w:bCs w:val="0"/>
                      <w:color w:val="auto"/>
                      <w:szCs w:val="21"/>
                      <w:highlight w:val="none"/>
                      <w:lang w:val="en-US" w:eastAsia="zh-CN"/>
                    </w:rPr>
                    <w:t>，设置于住院部-1F一体化污水处理设施旁。</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计入工程投资</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cs="Times New Roman"/>
                      <w:color w:val="auto"/>
                      <w:szCs w:val="21"/>
                      <w:highlight w:val="none"/>
                    </w:rPr>
                  </w:pPr>
                  <w:r>
                    <w:rPr>
                      <w:rFonts w:hint="eastAsia" w:cs="Times New Roman"/>
                      <w:b/>
                      <w:bCs/>
                      <w:color w:val="auto"/>
                      <w:szCs w:val="21"/>
                      <w:highlight w:val="none"/>
                      <w:lang w:val="en-US" w:eastAsia="zh-CN"/>
                    </w:rPr>
                    <w:t>一体化污水处理设施：</w:t>
                  </w:r>
                  <w:r>
                    <w:rPr>
                      <w:rFonts w:hint="eastAsia" w:cs="Times New Roman"/>
                      <w:b w:val="0"/>
                      <w:bCs w:val="0"/>
                      <w:color w:val="auto"/>
                      <w:szCs w:val="21"/>
                      <w:highlight w:val="none"/>
                      <w:lang w:val="en-US" w:eastAsia="zh-CN"/>
                    </w:rPr>
                    <w:t>处理能力为80m</w:t>
                  </w:r>
                  <w:r>
                    <w:rPr>
                      <w:rFonts w:hint="eastAsia" w:cs="Times New Roman"/>
                      <w:b w:val="0"/>
                      <w:bCs w:val="0"/>
                      <w:color w:val="auto"/>
                      <w:szCs w:val="21"/>
                      <w:highlight w:val="none"/>
                      <w:vertAlign w:val="superscript"/>
                      <w:lang w:val="en-US" w:eastAsia="zh-CN"/>
                    </w:rPr>
                    <w:t>3</w:t>
                  </w:r>
                  <w:r>
                    <w:rPr>
                      <w:rFonts w:hint="eastAsia" w:cs="Times New Roman"/>
                      <w:b w:val="0"/>
                      <w:bCs w:val="0"/>
                      <w:color w:val="auto"/>
                      <w:szCs w:val="21"/>
                      <w:highlight w:val="none"/>
                      <w:lang w:val="en-US" w:eastAsia="zh-CN"/>
                    </w:rPr>
                    <w:t>/d，采用“AO+沉淀+消毒”工艺</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噪声治理</w:t>
                  </w:r>
                </w:p>
              </w:tc>
              <w:tc>
                <w:tcPr>
                  <w:tcW w:w="38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w:t>
                  </w: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rPr>
                    <w:t>选用低噪声设备</w:t>
                  </w:r>
                  <w:r>
                    <w:rPr>
                      <w:rFonts w:hint="eastAsia"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rPr>
                    <w:t>合理安排施工时间</w:t>
                  </w:r>
                  <w:r>
                    <w:rPr>
                      <w:rFonts w:hint="eastAsia"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rPr>
                    <w:t>合理布置施工总平面</w:t>
                  </w:r>
                  <w:r>
                    <w:rPr>
                      <w:rFonts w:hint="eastAsia" w:ascii="Times New Roman" w:hAnsi="Times New Roman" w:cs="Times New Roman"/>
                      <w:color w:val="auto"/>
                      <w:highlight w:val="none"/>
                      <w:vertAlign w:val="baseline"/>
                      <w:lang w:val="en-US" w:eastAsia="zh-CN"/>
                    </w:rPr>
                    <w:t>等</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479"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noWrap w:val="0"/>
                  <w:vAlign w:val="center"/>
                </w:tcPr>
                <w:p>
                  <w:pPr>
                    <w:pStyle w:val="12"/>
                    <w:keepNext w:val="0"/>
                    <w:keepLines w:val="0"/>
                    <w:pageBreakBefore w:val="0"/>
                    <w:wordWrap/>
                    <w:topLinePunct w:val="0"/>
                    <w:bidi w:val="0"/>
                    <w:spacing w:line="240" w:lineRule="auto"/>
                    <w:ind w:left="0" w:leftChars="0"/>
                    <w:jc w:val="center"/>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rPr>
                    <w:t>营运期</w:t>
                  </w: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rPr>
                    <w:t>选用低噪声设备；高噪声设备置于单独的房间内，安装设备减震器，加强管理，通过隔声和距离衰减使噪声达标</w:t>
                  </w:r>
                  <w:r>
                    <w:rPr>
                      <w:rFonts w:hint="default"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10</w:t>
                  </w:r>
                  <w:r>
                    <w:rPr>
                      <w:rFonts w:hint="eastAsia" w:cs="Times New Roman"/>
                      <w:color w:val="auto"/>
                      <w:szCs w:val="21"/>
                      <w:highlight w:val="none"/>
                      <w:lang w:val="en-US" w:eastAsia="zh-CN"/>
                    </w:rPr>
                    <w:t>.0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固废治理</w:t>
                  </w:r>
                </w:p>
              </w:tc>
              <w:tc>
                <w:tcPr>
                  <w:tcW w:w="38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w:t>
                  </w: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rPr>
                    <w:t>生活垃圾用袋装后，委托市政环卫部门统一清运</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rPr>
                    <w:t>建筑垃圾委托建渣公司清运至市政制定的建渣场堆放</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8</w:t>
                  </w:r>
                  <w:r>
                    <w:rPr>
                      <w:rFonts w:hint="eastAsia" w:cs="Times New Roman"/>
                      <w:color w:val="auto"/>
                      <w:szCs w:val="21"/>
                      <w:highlight w:val="none"/>
                      <w:lang w:val="en-US" w:eastAsia="zh-CN"/>
                    </w:rPr>
                    <w:t>.0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pStyle w:val="12"/>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rPr>
                    <w:t>装修垃圾中废油漆桶、废胶水桶等危险废物委托有资质单位处置；其余可外售资源化</w:t>
                  </w:r>
                  <w:r>
                    <w:rPr>
                      <w:rFonts w:hint="eastAsia" w:ascii="Times New Roman" w:hAnsi="Times New Roman" w:cs="Times New Roman"/>
                      <w:color w:val="auto"/>
                      <w:highlight w:val="none"/>
                      <w:vertAlign w:val="baseline"/>
                      <w:lang w:val="en-US"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restar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营运期</w:t>
                  </w:r>
                </w:p>
              </w:tc>
              <w:tc>
                <w:tcPr>
                  <w:tcW w:w="3015" w:type="pct"/>
                  <w:noWrap w:val="0"/>
                  <w:vAlign w:val="center"/>
                </w:tcPr>
                <w:p>
                  <w:pPr>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生活垃圾日产日清，交环卫部门统一清运</w:t>
                  </w:r>
                  <w:r>
                    <w:rPr>
                      <w:rFonts w:hint="eastAsia" w:cs="Times New Roman"/>
                      <w:color w:val="auto"/>
                      <w:szCs w:val="21"/>
                      <w:highlight w:val="no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0.5</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未感染的输液瓶（袋）经统一容器收集后，定期交由回收公司处理，并建立管理台账</w:t>
                  </w:r>
                  <w:r>
                    <w:rPr>
                      <w:rFonts w:hint="eastAsia" w:cs="Times New Roman"/>
                      <w:color w:val="auto"/>
                      <w:szCs w:val="21"/>
                      <w:highlight w:val="none"/>
                      <w:lang w:val="en-US"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废包装材料收集后外售废品回收站。</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餐厨垃圾分类收集，日产日清，交具经营许可单位处理；食堂</w:t>
                  </w:r>
                  <w:r>
                    <w:rPr>
                      <w:rFonts w:hint="default" w:ascii="Times New Roman" w:hAnsi="Times New Roman" w:cs="Times New Roman"/>
                      <w:color w:val="auto"/>
                      <w:szCs w:val="21"/>
                      <w:highlight w:val="none"/>
                      <w:lang w:val="en-US" w:eastAsia="zh-CN"/>
                    </w:rPr>
                    <w:t>油水分离器</w:t>
                  </w:r>
                  <w:r>
                    <w:rPr>
                      <w:rFonts w:hint="default" w:ascii="Times New Roman" w:hAnsi="Times New Roman" w:cs="Times New Roman"/>
                      <w:color w:val="auto"/>
                      <w:szCs w:val="21"/>
                      <w:highlight w:val="none"/>
                    </w:rPr>
                    <w:t>浮油定期清掏后可与餐厨垃圾共同处置</w:t>
                  </w:r>
                  <w:r>
                    <w:rPr>
                      <w:rFonts w:hint="eastAsia" w:cs="Times New Roman"/>
                      <w:color w:val="auto"/>
                      <w:szCs w:val="21"/>
                      <w:highlight w:val="no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废过滤材料更换下来后交由厂家回收。</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85" w:type="pct"/>
                  <w:vMerge w:val="continue"/>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p>
              </w:tc>
              <w:tc>
                <w:tcPr>
                  <w:tcW w:w="3015" w:type="pct"/>
                  <w:noWrap w:val="0"/>
                  <w:vAlign w:val="center"/>
                </w:tcPr>
                <w:p>
                  <w:pPr>
                    <w:keepNext w:val="0"/>
                    <w:keepLines w:val="0"/>
                    <w:pageBreakBefore w:val="0"/>
                    <w:wordWrap/>
                    <w:topLinePunct w:val="0"/>
                    <w:bidi w:val="0"/>
                    <w:spacing w:line="240" w:lineRule="auto"/>
                    <w:ind w:left="0" w:leftChars="0"/>
                    <w:jc w:val="left"/>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各类危险废物分类收集暂存于医疗废物暂存间内，</w:t>
                  </w:r>
                  <w:r>
                    <w:rPr>
                      <w:rFonts w:hint="eastAsia" w:cs="Times New Roman"/>
                      <w:color w:val="auto"/>
                      <w:szCs w:val="21"/>
                      <w:highlight w:val="none"/>
                      <w:lang w:val="en-US" w:eastAsia="zh-CN"/>
                    </w:rPr>
                    <w:t>与</w:t>
                  </w:r>
                  <w:r>
                    <w:rPr>
                      <w:rFonts w:hint="default" w:ascii="Times New Roman" w:hAnsi="Times New Roman" w:cs="Times New Roman"/>
                      <w:color w:val="auto"/>
                      <w:szCs w:val="21"/>
                      <w:highlight w:val="none"/>
                    </w:rPr>
                    <w:t>有资质的医疗废物处置单位</w:t>
                  </w:r>
                  <w:r>
                    <w:rPr>
                      <w:rFonts w:hint="eastAsia" w:cs="Times New Roman"/>
                      <w:color w:val="auto"/>
                      <w:szCs w:val="21"/>
                      <w:highlight w:val="none"/>
                      <w:lang w:val="en-US" w:eastAsia="zh-CN"/>
                    </w:rPr>
                    <w:t>签订危废处理合同，并交由有资质的单位</w:t>
                  </w:r>
                  <w:r>
                    <w:rPr>
                      <w:rFonts w:hint="default" w:ascii="Times New Roman" w:hAnsi="Times New Roman" w:cs="Times New Roman"/>
                      <w:color w:val="auto"/>
                      <w:szCs w:val="21"/>
                      <w:highlight w:val="none"/>
                    </w:rPr>
                    <w:t>清运处置</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污水处理系统污泥定时清掏不在项目内暂存直接交由有资质单位处理</w:t>
                  </w:r>
                  <w:r>
                    <w:rPr>
                      <w:rFonts w:hint="eastAsia" w:ascii="Times New Roman" w:hAnsi="Times New Roman" w:cs="Times New Roman"/>
                      <w:color w:val="auto"/>
                      <w:highlight w:val="none"/>
                      <w:vertAlign w:val="baseline"/>
                      <w:lang w:eastAsia="zh-CN"/>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地下水防渗措施</w:t>
                  </w:r>
                </w:p>
              </w:tc>
              <w:tc>
                <w:tcPr>
                  <w:tcW w:w="3401" w:type="pct"/>
                  <w:gridSpan w:val="2"/>
                  <w:noWrap w:val="0"/>
                  <w:vAlign w:val="center"/>
                </w:tcPr>
                <w:p>
                  <w:pPr>
                    <w:keepNext w:val="0"/>
                    <w:keepLines w:val="0"/>
                    <w:pageBreakBefore w:val="0"/>
                    <w:wordWrap/>
                    <w:topLinePunct w:val="0"/>
                    <w:bidi w:val="0"/>
                    <w:spacing w:line="240" w:lineRule="auto"/>
                    <w:rPr>
                      <w:rFonts w:hint="default" w:ascii="Times New Roman" w:hAnsi="Times New Roman" w:cs="Times New Roman"/>
                      <w:color w:val="auto"/>
                      <w:szCs w:val="21"/>
                      <w:highlight w:val="none"/>
                    </w:rPr>
                  </w:pPr>
                  <w:r>
                    <w:rPr>
                      <w:rFonts w:hint="eastAsia"/>
                      <w:color w:val="auto"/>
                      <w:szCs w:val="21"/>
                      <w:highlight w:val="none"/>
                    </w:rPr>
                    <w:t>危废暂存间、</w:t>
                  </w:r>
                  <w:r>
                    <w:rPr>
                      <w:rFonts w:hint="eastAsia"/>
                      <w:color w:val="auto"/>
                      <w:szCs w:val="21"/>
                      <w:highlight w:val="none"/>
                      <w:lang w:val="en-US" w:eastAsia="zh-CN"/>
                    </w:rPr>
                    <w:t>柴油</w:t>
                  </w:r>
                  <w:r>
                    <w:rPr>
                      <w:rFonts w:hint="eastAsia"/>
                      <w:color w:val="auto"/>
                      <w:szCs w:val="21"/>
                      <w:highlight w:val="none"/>
                    </w:rPr>
                    <w:t>发电机房</w:t>
                  </w:r>
                  <w:r>
                    <w:rPr>
                      <w:rFonts w:hint="eastAsia"/>
                      <w:color w:val="auto"/>
                      <w:szCs w:val="21"/>
                      <w:highlight w:val="none"/>
                      <w:lang w:eastAsia="zh-CN"/>
                    </w:rPr>
                    <w:t>（</w:t>
                  </w:r>
                  <w:r>
                    <w:rPr>
                      <w:rFonts w:hint="eastAsia"/>
                      <w:color w:val="auto"/>
                      <w:szCs w:val="21"/>
                      <w:highlight w:val="none"/>
                      <w:lang w:val="en-US" w:eastAsia="zh-CN"/>
                    </w:rPr>
                    <w:t>含储油间</w:t>
                  </w:r>
                  <w:r>
                    <w:rPr>
                      <w:rFonts w:hint="eastAsia"/>
                      <w:color w:val="auto"/>
                      <w:szCs w:val="21"/>
                      <w:highlight w:val="none"/>
                      <w:lang w:eastAsia="zh-CN"/>
                    </w:rPr>
                    <w:t>）、</w:t>
                  </w:r>
                  <w:r>
                    <w:rPr>
                      <w:rFonts w:hint="eastAsia"/>
                      <w:color w:val="auto"/>
                      <w:szCs w:val="21"/>
                      <w:highlight w:val="none"/>
                      <w:lang w:val="en-US" w:eastAsia="zh-CN"/>
                    </w:rPr>
                    <w:t>污水处理设施池体、化粪池等重点防渗区拟采用</w:t>
                  </w:r>
                  <w:r>
                    <w:rPr>
                      <w:rFonts w:hint="default" w:ascii="Times New Roman" w:hAnsi="Times New Roman" w:cs="Times New Roman"/>
                      <w:color w:val="auto"/>
                      <w:sz w:val="21"/>
                      <w:szCs w:val="18"/>
                      <w:highlight w:val="none"/>
                    </w:rPr>
                    <w:t>防渗混凝土+</w:t>
                  </w:r>
                  <w:r>
                    <w:rPr>
                      <w:rFonts w:hint="default" w:ascii="Times New Roman" w:hAnsi="Times New Roman" w:cs="Times New Roman"/>
                      <w:color w:val="auto"/>
                      <w:sz w:val="21"/>
                      <w:szCs w:val="18"/>
                      <w:highlight w:val="none"/>
                      <w:lang w:eastAsia="zh-CN"/>
                    </w:rPr>
                    <w:t>环氧树脂防渗层或</w:t>
                  </w:r>
                  <w:r>
                    <w:rPr>
                      <w:rFonts w:hint="default" w:ascii="Times New Roman" w:hAnsi="Times New Roman" w:cs="Times New Roman"/>
                      <w:color w:val="auto"/>
                      <w:sz w:val="21"/>
                      <w:szCs w:val="18"/>
                      <w:highlight w:val="none"/>
                    </w:rPr>
                    <w:t>2mm厚HDPE防渗层</w:t>
                  </w:r>
                  <w:r>
                    <w:rPr>
                      <w:rFonts w:hint="default" w:ascii="Times New Roman" w:hAnsi="Times New Roman" w:cs="Times New Roman"/>
                      <w:color w:val="auto"/>
                      <w:sz w:val="21"/>
                      <w:szCs w:val="18"/>
                      <w:highlight w:val="none"/>
                      <w:lang w:val="en-US" w:eastAsia="zh-CN"/>
                    </w:rPr>
                    <w:t>或</w:t>
                  </w:r>
                  <w:r>
                    <w:rPr>
                      <w:rFonts w:hint="default" w:ascii="Times New Roman" w:hAnsi="Times New Roman" w:cs="Times New Roman"/>
                      <w:color w:val="auto"/>
                      <w:sz w:val="21"/>
                      <w:szCs w:val="18"/>
                      <w:highlight w:val="none"/>
                      <w:lang w:eastAsia="zh-CN"/>
                    </w:rPr>
                    <w:t>其他同等级防渗材料进行防渗、防腐处理</w:t>
                  </w:r>
                  <w:r>
                    <w:rPr>
                      <w:rFonts w:hint="default" w:ascii="Times New Roman" w:hAnsi="Times New Roman" w:cs="Times New Roman"/>
                      <w:color w:val="auto"/>
                      <w:sz w:val="21"/>
                      <w:szCs w:val="18"/>
                      <w:highlight w:val="none"/>
                    </w:rPr>
                    <w:t>，防渗技</w:t>
                  </w:r>
                  <w:r>
                    <w:rPr>
                      <w:rFonts w:hint="default" w:ascii="Times New Roman" w:hAnsi="Times New Roman" w:cs="Times New Roman"/>
                      <w:color w:val="auto"/>
                      <w:sz w:val="21"/>
                      <w:szCs w:val="21"/>
                      <w:highlight w:val="none"/>
                    </w:rPr>
                    <w:t>术要求为等效黏土防渗层Mb≥6.0m，K≤10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除发热门诊和住院部重点防渗区域外、</w:t>
                  </w:r>
                  <w:r>
                    <w:rPr>
                      <w:rFonts w:hint="eastAsia" w:ascii="Times New Roman" w:hAnsi="Times New Roman" w:cs="Times New Roman"/>
                      <w:color w:val="auto"/>
                      <w:sz w:val="21"/>
                      <w:szCs w:val="21"/>
                      <w:highlight w:val="none"/>
                      <w:lang w:val="en-US" w:eastAsia="zh-CN"/>
                    </w:rPr>
                    <w:t>业务楼等进行一般防渗</w:t>
                  </w:r>
                  <w:r>
                    <w:rPr>
                      <w:rFonts w:hint="default" w:ascii="Times New Roman" w:hAnsi="Times New Roman" w:cs="Times New Roman"/>
                      <w:color w:val="auto"/>
                      <w:sz w:val="21"/>
                      <w:szCs w:val="21"/>
                      <w:highlight w:val="none"/>
                    </w:rPr>
                    <w:t>区域，采用防渗混凝土+泥砂浆地坪，确保防渗技术要求为等效黏土防渗层Mb≥1.5m，K≤10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院</w:t>
                  </w:r>
                  <w:r>
                    <w:rPr>
                      <w:rFonts w:hint="eastAsia" w:cs="Times New Roman"/>
                      <w:color w:val="auto"/>
                      <w:sz w:val="21"/>
                      <w:szCs w:val="21"/>
                      <w:highlight w:val="none"/>
                      <w:lang w:eastAsia="zh-CN"/>
                    </w:rPr>
                    <w:t>区道路采取一般水</w:t>
                  </w:r>
                  <w:r>
                    <w:rPr>
                      <w:rFonts w:hint="eastAsia" w:cs="Times New Roman"/>
                      <w:color w:val="auto"/>
                      <w:sz w:val="21"/>
                      <w:szCs w:val="18"/>
                      <w:highlight w:val="none"/>
                      <w:lang w:eastAsia="zh-CN"/>
                    </w:rPr>
                    <w:t>泥地硬化。</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风险管理</w:t>
                  </w:r>
                </w:p>
              </w:tc>
              <w:tc>
                <w:tcPr>
                  <w:tcW w:w="3401" w:type="pct"/>
                  <w:gridSpan w:val="2"/>
                  <w:noWrap w:val="0"/>
                  <w:vAlign w:val="center"/>
                </w:tcPr>
                <w:p>
                  <w:pPr>
                    <w:keepNext w:val="0"/>
                    <w:keepLines w:val="0"/>
                    <w:pageBreakBefore w:val="0"/>
                    <w:wordWrap/>
                    <w:topLinePunct w:val="0"/>
                    <w:bidi w:val="0"/>
                    <w:spacing w:line="240" w:lineRule="auto"/>
                    <w:ind w:left="0" w:leftChars="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详见表4-21</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3401" w:type="pct"/>
                  <w:gridSpan w:val="2"/>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6"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197.52</w:t>
                  </w:r>
                </w:p>
              </w:tc>
              <w:tc>
                <w:tcPr>
                  <w:tcW w:w="479"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color w:val="auto"/>
                <w:sz w:val="24"/>
                <w:szCs w:val="24"/>
                <w:highlight w:val="none"/>
                <w:lang w:eastAsia="zh-CN"/>
              </w:rPr>
            </w:pPr>
          </w:p>
        </w:tc>
      </w:tr>
    </w:tbl>
    <w:p>
      <w:pPr>
        <w:pStyle w:val="10"/>
        <w:spacing w:line="360" w:lineRule="auto"/>
        <w:rPr>
          <w:rFonts w:hint="eastAsia"/>
          <w:color w:val="auto"/>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1005"/>
        </w:tabs>
        <w:spacing w:line="360" w:lineRule="auto"/>
        <w:jc w:val="center"/>
        <w:outlineLvl w:val="0"/>
        <w:rPr>
          <w:rFonts w:eastAsia="黑体" w:cs="Times New Roman"/>
          <w:color w:val="auto"/>
          <w:sz w:val="30"/>
          <w:szCs w:val="30"/>
          <w:highlight w:val="none"/>
        </w:rPr>
      </w:pPr>
      <w:r>
        <w:rPr>
          <w:rFonts w:eastAsia="黑体" w:cs="Times New Roman"/>
          <w:color w:val="auto"/>
          <w:sz w:val="30"/>
          <w:szCs w:val="30"/>
          <w:highlight w:val="none"/>
        </w:rPr>
        <w:t>五、环境保护措施监督检查清单</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596"/>
        <w:gridCol w:w="1786"/>
        <w:gridCol w:w="3139"/>
        <w:gridCol w:w="23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tcBorders>
              <w:tl2br w:val="single" w:color="auto" w:sz="4" w:space="0"/>
            </w:tcBorders>
            <w:noWrap w:val="0"/>
            <w:vAlign w:val="top"/>
          </w:tcPr>
          <w:p>
            <w:pPr>
              <w:adjustRightInd w:val="0"/>
              <w:snapToGrid w:val="0"/>
              <w:spacing w:line="240" w:lineRule="auto"/>
              <w:ind w:firstLine="422" w:firstLineChars="200"/>
              <w:rPr>
                <w:b/>
                <w:bCs/>
                <w:color w:val="auto"/>
                <w:szCs w:val="21"/>
                <w:highlight w:val="none"/>
              </w:rPr>
            </w:pPr>
            <w:r>
              <w:rPr>
                <w:b/>
                <w:bCs/>
                <w:color w:val="auto"/>
                <w:szCs w:val="21"/>
                <w:highlight w:val="none"/>
              </w:rPr>
              <w:t>内容</w:t>
            </w:r>
          </w:p>
          <w:p>
            <w:pPr>
              <w:adjustRightInd w:val="0"/>
              <w:snapToGrid w:val="0"/>
              <w:spacing w:line="240" w:lineRule="auto"/>
              <w:rPr>
                <w:b/>
                <w:bCs/>
                <w:color w:val="auto"/>
                <w:szCs w:val="21"/>
                <w:highlight w:val="none"/>
              </w:rPr>
            </w:pPr>
            <w:r>
              <w:rPr>
                <w:b/>
                <w:bCs/>
                <w:color w:val="auto"/>
                <w:szCs w:val="21"/>
                <w:highlight w:val="none"/>
              </w:rPr>
              <w:t>要素</w:t>
            </w:r>
          </w:p>
        </w:tc>
        <w:tc>
          <w:tcPr>
            <w:tcW w:w="801" w:type="pct"/>
            <w:noWrap w:val="0"/>
            <w:vAlign w:val="center"/>
          </w:tcPr>
          <w:p>
            <w:pPr>
              <w:adjustRightInd w:val="0"/>
              <w:snapToGrid w:val="0"/>
              <w:spacing w:line="240" w:lineRule="auto"/>
              <w:jc w:val="center"/>
              <w:rPr>
                <w:b/>
                <w:bCs/>
                <w:color w:val="auto"/>
                <w:szCs w:val="21"/>
                <w:highlight w:val="none"/>
              </w:rPr>
            </w:pPr>
            <w:r>
              <w:rPr>
                <w:b/>
                <w:bCs/>
                <w:color w:val="auto"/>
                <w:szCs w:val="21"/>
                <w:highlight w:val="none"/>
              </w:rPr>
              <w:t>排放口</w:t>
            </w:r>
            <w:r>
              <w:rPr>
                <w:rFonts w:hint="eastAsia"/>
                <w:b/>
                <w:bCs/>
                <w:color w:val="auto"/>
                <w:szCs w:val="21"/>
                <w:highlight w:val="none"/>
                <w:lang w:eastAsia="zh-CN"/>
              </w:rPr>
              <w:t>（</w:t>
            </w:r>
            <w:r>
              <w:rPr>
                <w:b/>
                <w:bCs/>
                <w:color w:val="auto"/>
                <w:szCs w:val="21"/>
                <w:highlight w:val="none"/>
              </w:rPr>
              <w:t>编号、名称</w:t>
            </w:r>
            <w:r>
              <w:rPr>
                <w:rFonts w:hint="eastAsia"/>
                <w:b/>
                <w:bCs/>
                <w:color w:val="auto"/>
                <w:szCs w:val="21"/>
                <w:highlight w:val="none"/>
                <w:lang w:eastAsia="zh-CN"/>
              </w:rPr>
              <w:t>）</w:t>
            </w:r>
            <w:r>
              <w:rPr>
                <w:b/>
                <w:bCs/>
                <w:color w:val="auto"/>
                <w:szCs w:val="21"/>
                <w:highlight w:val="none"/>
              </w:rPr>
              <w:t>/污染源</w:t>
            </w:r>
          </w:p>
        </w:tc>
        <w:tc>
          <w:tcPr>
            <w:tcW w:w="896" w:type="pct"/>
            <w:noWrap w:val="0"/>
            <w:vAlign w:val="center"/>
          </w:tcPr>
          <w:p>
            <w:pPr>
              <w:adjustRightInd w:val="0"/>
              <w:snapToGrid w:val="0"/>
              <w:spacing w:line="240" w:lineRule="auto"/>
              <w:jc w:val="center"/>
              <w:rPr>
                <w:b/>
                <w:bCs/>
                <w:color w:val="auto"/>
                <w:szCs w:val="21"/>
                <w:highlight w:val="none"/>
              </w:rPr>
            </w:pPr>
            <w:r>
              <w:rPr>
                <w:b/>
                <w:bCs/>
                <w:color w:val="auto"/>
                <w:szCs w:val="21"/>
                <w:highlight w:val="none"/>
              </w:rPr>
              <w:t>污染物项目</w:t>
            </w:r>
          </w:p>
        </w:tc>
        <w:tc>
          <w:tcPr>
            <w:tcW w:w="1575" w:type="pct"/>
            <w:noWrap w:val="0"/>
            <w:vAlign w:val="center"/>
          </w:tcPr>
          <w:p>
            <w:pPr>
              <w:adjustRightInd w:val="0"/>
              <w:snapToGrid w:val="0"/>
              <w:spacing w:line="240" w:lineRule="auto"/>
              <w:jc w:val="center"/>
              <w:rPr>
                <w:b/>
                <w:bCs/>
                <w:color w:val="auto"/>
                <w:szCs w:val="21"/>
                <w:highlight w:val="none"/>
              </w:rPr>
            </w:pPr>
            <w:r>
              <w:rPr>
                <w:b/>
                <w:bCs/>
                <w:color w:val="auto"/>
                <w:szCs w:val="21"/>
                <w:highlight w:val="none"/>
              </w:rPr>
              <w:t>环境保护措施</w:t>
            </w:r>
          </w:p>
        </w:tc>
        <w:tc>
          <w:tcPr>
            <w:tcW w:w="1177" w:type="pct"/>
            <w:noWrap w:val="0"/>
            <w:vAlign w:val="center"/>
          </w:tcPr>
          <w:p>
            <w:pPr>
              <w:adjustRightInd w:val="0"/>
              <w:snapToGrid w:val="0"/>
              <w:spacing w:line="240" w:lineRule="auto"/>
              <w:jc w:val="center"/>
              <w:rPr>
                <w:b/>
                <w:bCs/>
                <w:color w:val="auto"/>
                <w:szCs w:val="21"/>
                <w:highlight w:val="none"/>
              </w:rPr>
            </w:pPr>
            <w:r>
              <w:rPr>
                <w:b/>
                <w:bCs/>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restart"/>
            <w:noWrap w:val="0"/>
            <w:vAlign w:val="center"/>
          </w:tcPr>
          <w:p>
            <w:pPr>
              <w:adjustRightInd w:val="0"/>
              <w:snapToGrid w:val="0"/>
              <w:spacing w:line="240" w:lineRule="auto"/>
              <w:jc w:val="center"/>
              <w:rPr>
                <w:color w:val="auto"/>
                <w:szCs w:val="21"/>
                <w:highlight w:val="none"/>
              </w:rPr>
            </w:pPr>
            <w:r>
              <w:rPr>
                <w:color w:val="auto"/>
                <w:szCs w:val="21"/>
                <w:highlight w:val="none"/>
              </w:rPr>
              <w:t>大气环境</w:t>
            </w:r>
          </w:p>
        </w:tc>
        <w:tc>
          <w:tcPr>
            <w:tcW w:w="801" w:type="pct"/>
            <w:noWrap w:val="0"/>
            <w:vAlign w:val="center"/>
          </w:tcPr>
          <w:p>
            <w:pPr>
              <w:adjustRightInd w:val="0"/>
              <w:snapToGrid w:val="0"/>
              <w:spacing w:line="240" w:lineRule="auto"/>
              <w:jc w:val="center"/>
              <w:rPr>
                <w:rFonts w:hint="eastAsia"/>
                <w:color w:val="auto"/>
                <w:szCs w:val="21"/>
                <w:highlight w:val="none"/>
              </w:rPr>
            </w:pPr>
            <w:r>
              <w:rPr>
                <w:rFonts w:hint="eastAsia"/>
                <w:color w:val="auto"/>
                <w:szCs w:val="21"/>
                <w:highlight w:val="none"/>
              </w:rPr>
              <w:t>病区含菌空气</w:t>
            </w:r>
          </w:p>
        </w:tc>
        <w:tc>
          <w:tcPr>
            <w:tcW w:w="896" w:type="pct"/>
            <w:noWrap w:val="0"/>
            <w:vAlign w:val="center"/>
          </w:tcPr>
          <w:p>
            <w:pPr>
              <w:adjustRightInd w:val="0"/>
              <w:snapToGrid w:val="0"/>
              <w:spacing w:line="240" w:lineRule="auto"/>
              <w:jc w:val="center"/>
              <w:rPr>
                <w:color w:val="auto"/>
                <w:szCs w:val="21"/>
                <w:highlight w:val="none"/>
              </w:rPr>
            </w:pPr>
            <w:r>
              <w:rPr>
                <w:color w:val="auto"/>
                <w:szCs w:val="21"/>
                <w:highlight w:val="none"/>
              </w:rPr>
              <w:t>带菌空气</w:t>
            </w:r>
          </w:p>
        </w:tc>
        <w:tc>
          <w:tcPr>
            <w:tcW w:w="1575"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rPr>
              <w:t>对病房区、走廊、各科诊室和</w:t>
            </w:r>
            <w:r>
              <w:rPr>
                <w:rFonts w:hint="eastAsia"/>
                <w:color w:val="auto"/>
                <w:szCs w:val="21"/>
                <w:highlight w:val="none"/>
                <w:lang w:eastAsia="zh-CN"/>
              </w:rPr>
              <w:t>检验科</w:t>
            </w:r>
            <w:r>
              <w:rPr>
                <w:rFonts w:hint="eastAsia"/>
                <w:color w:val="auto"/>
                <w:szCs w:val="21"/>
                <w:highlight w:val="none"/>
                <w:lang w:val="en-US" w:eastAsia="zh-CN"/>
              </w:rPr>
              <w:t>等区域</w:t>
            </w:r>
            <w:r>
              <w:rPr>
                <w:rFonts w:hint="eastAsia"/>
                <w:color w:val="auto"/>
                <w:szCs w:val="21"/>
                <w:highlight w:val="none"/>
              </w:rPr>
              <w:t>定期消毒处理，</w:t>
            </w:r>
            <w:r>
              <w:rPr>
                <w:rFonts w:hint="default" w:ascii="Times New Roman" w:hAnsi="Times New Roman" w:cs="Times New Roman"/>
                <w:color w:val="auto"/>
                <w:szCs w:val="21"/>
                <w:highlight w:val="none"/>
              </w:rPr>
              <w:t>同时对住院病房区、手术室、</w:t>
            </w:r>
            <w:r>
              <w:rPr>
                <w:rFonts w:hint="default" w:ascii="Times New Roman" w:hAnsi="Times New Roman" w:cs="Times New Roman"/>
                <w:color w:val="auto"/>
                <w:szCs w:val="21"/>
                <w:highlight w:val="none"/>
                <w:lang w:val="en-US" w:eastAsia="zh-CN"/>
              </w:rPr>
              <w:t>实验区</w:t>
            </w:r>
            <w:r>
              <w:rPr>
                <w:rFonts w:hint="default" w:ascii="Times New Roman" w:hAnsi="Times New Roman" w:cs="Times New Roman"/>
                <w:color w:val="auto"/>
                <w:szCs w:val="21"/>
                <w:highlight w:val="none"/>
              </w:rPr>
              <w:t>等设置独立的通风系统</w:t>
            </w:r>
            <w:r>
              <w:rPr>
                <w:rFonts w:hint="eastAsia"/>
                <w:color w:val="auto"/>
                <w:szCs w:val="21"/>
                <w:highlight w:val="none"/>
                <w:lang w:val="en-US" w:eastAsia="zh-CN"/>
              </w:rPr>
              <w:t>，并加装紫外线灯或等离子空气净化消毒机进行消毒灭菌</w:t>
            </w:r>
          </w:p>
        </w:tc>
        <w:tc>
          <w:tcPr>
            <w:tcW w:w="1177"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rFonts w:hint="eastAsia"/>
                <w:color w:val="auto"/>
                <w:szCs w:val="21"/>
                <w:highlight w:val="none"/>
              </w:rPr>
            </w:pPr>
            <w:r>
              <w:rPr>
                <w:rFonts w:hint="eastAsia"/>
                <w:color w:val="auto"/>
                <w:szCs w:val="21"/>
                <w:highlight w:val="none"/>
                <w:lang w:val="en-US" w:eastAsia="zh-CN"/>
              </w:rPr>
              <w:t>含病原微生物气溶胶废气</w:t>
            </w:r>
          </w:p>
        </w:tc>
        <w:tc>
          <w:tcPr>
            <w:tcW w:w="896" w:type="pct"/>
            <w:noWrap w:val="0"/>
            <w:vAlign w:val="center"/>
          </w:tcPr>
          <w:p>
            <w:pPr>
              <w:adjustRightInd w:val="0"/>
              <w:snapToGrid w:val="0"/>
              <w:spacing w:line="240" w:lineRule="auto"/>
              <w:jc w:val="center"/>
              <w:rPr>
                <w:color w:val="auto"/>
                <w:szCs w:val="21"/>
                <w:highlight w:val="none"/>
              </w:rPr>
            </w:pPr>
            <w:r>
              <w:rPr>
                <w:color w:val="auto"/>
                <w:szCs w:val="21"/>
                <w:highlight w:val="none"/>
              </w:rPr>
              <w:t>带菌空气</w:t>
            </w:r>
          </w:p>
        </w:tc>
        <w:tc>
          <w:tcPr>
            <w:tcW w:w="1575" w:type="pct"/>
            <w:noWrap w:val="0"/>
            <w:vAlign w:val="center"/>
          </w:tcPr>
          <w:p>
            <w:pPr>
              <w:adjustRightInd w:val="0"/>
              <w:snapToGrid w:val="0"/>
              <w:spacing w:line="240" w:lineRule="auto"/>
              <w:jc w:val="center"/>
              <w:rPr>
                <w:rFonts w:hint="eastAsia"/>
                <w:color w:val="auto"/>
                <w:szCs w:val="21"/>
                <w:highlight w:val="none"/>
              </w:rPr>
            </w:pPr>
            <w:r>
              <w:rPr>
                <w:rFonts w:hint="eastAsia"/>
                <w:color w:val="auto"/>
                <w:szCs w:val="21"/>
                <w:highlight w:val="none"/>
                <w:lang w:val="en-US" w:eastAsia="zh-CN"/>
              </w:rPr>
              <w:t>微生物实验室废气经“A2型生物安全柜+新风系统高效过滤器+紫外灯”消毒灭菌处理后由引风机从楼侧排处室外，同时在微生物实验室、无菌室、药剂准备室、标本制备室、扩增分析室各配置1台可移动紫外线灯</w:t>
            </w:r>
          </w:p>
        </w:tc>
        <w:tc>
          <w:tcPr>
            <w:tcW w:w="1177" w:type="pct"/>
            <w:noWrap w:val="0"/>
            <w:vAlign w:val="center"/>
          </w:tcPr>
          <w:p>
            <w:pPr>
              <w:adjustRightInd w:val="0"/>
              <w:snapToGrid w:val="0"/>
              <w:spacing w:line="240" w:lineRule="auto"/>
              <w:jc w:val="center"/>
              <w:rPr>
                <w:rFonts w:hint="eastAsia"/>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rFonts w:hint="eastAsia"/>
                <w:color w:val="auto"/>
                <w:szCs w:val="21"/>
                <w:highlight w:val="none"/>
              </w:rPr>
            </w:pPr>
            <w:r>
              <w:rPr>
                <w:rFonts w:hint="eastAsia"/>
                <w:color w:val="auto"/>
                <w:szCs w:val="21"/>
                <w:highlight w:val="none"/>
                <w:lang w:val="en-US" w:eastAsia="zh-CN"/>
              </w:rPr>
              <w:t>医疗废物暂存间恶臭</w:t>
            </w:r>
          </w:p>
        </w:tc>
        <w:tc>
          <w:tcPr>
            <w:tcW w:w="896" w:type="pct"/>
            <w:noWrap w:val="0"/>
            <w:vAlign w:val="center"/>
          </w:tcPr>
          <w:p>
            <w:pPr>
              <w:adjustRightInd w:val="0"/>
              <w:snapToGrid w:val="0"/>
              <w:spacing w:line="240" w:lineRule="auto"/>
              <w:jc w:val="center"/>
              <w:rPr>
                <w:color w:val="auto"/>
                <w:szCs w:val="21"/>
                <w:highlight w:val="none"/>
              </w:rPr>
            </w:pPr>
            <w:r>
              <w:rPr>
                <w:color w:val="auto"/>
                <w:szCs w:val="21"/>
                <w:highlight w:val="none"/>
              </w:rPr>
              <w:t>臭气</w:t>
            </w:r>
          </w:p>
        </w:tc>
        <w:tc>
          <w:tcPr>
            <w:tcW w:w="1575" w:type="pct"/>
            <w:noWrap w:val="0"/>
            <w:vAlign w:val="center"/>
          </w:tcPr>
          <w:p>
            <w:pPr>
              <w:adjustRightInd w:val="0"/>
              <w:snapToGrid w:val="0"/>
              <w:spacing w:line="240" w:lineRule="auto"/>
              <w:jc w:val="center"/>
              <w:rPr>
                <w:rFonts w:hint="eastAsia"/>
                <w:color w:val="auto"/>
                <w:szCs w:val="21"/>
                <w:highlight w:val="none"/>
              </w:rPr>
            </w:pPr>
            <w:r>
              <w:rPr>
                <w:rFonts w:hint="eastAsia"/>
                <w:color w:val="auto"/>
                <w:szCs w:val="21"/>
                <w:highlight w:val="none"/>
                <w:lang w:val="en-US" w:eastAsia="zh-CN"/>
              </w:rPr>
              <w:t>医疗废物密封储存，加强管理，定期消毒，日产日清</w:t>
            </w:r>
          </w:p>
        </w:tc>
        <w:tc>
          <w:tcPr>
            <w:tcW w:w="1177" w:type="pct"/>
            <w:noWrap w:val="0"/>
            <w:vAlign w:val="center"/>
          </w:tcPr>
          <w:p>
            <w:pPr>
              <w:adjustRightInd w:val="0"/>
              <w:snapToGrid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lang w:val="en-US" w:eastAsia="zh-CN"/>
              </w:rPr>
              <w:t>一体化污水处理设施</w:t>
            </w:r>
            <w:r>
              <w:rPr>
                <w:color w:val="auto"/>
                <w:szCs w:val="21"/>
                <w:highlight w:val="none"/>
              </w:rPr>
              <w:t>恶臭</w:t>
            </w:r>
          </w:p>
        </w:tc>
        <w:tc>
          <w:tcPr>
            <w:tcW w:w="896" w:type="pct"/>
            <w:noWrap w:val="0"/>
            <w:vAlign w:val="center"/>
          </w:tcPr>
          <w:p>
            <w:pPr>
              <w:adjustRightInd w:val="0"/>
              <w:snapToGrid w:val="0"/>
              <w:spacing w:line="240" w:lineRule="auto"/>
              <w:jc w:val="center"/>
              <w:rPr>
                <w:color w:val="auto"/>
                <w:szCs w:val="21"/>
                <w:highlight w:val="none"/>
              </w:rPr>
            </w:pPr>
            <w:r>
              <w:rPr>
                <w:color w:val="auto"/>
                <w:szCs w:val="21"/>
                <w:highlight w:val="none"/>
              </w:rPr>
              <w:t>H</w:t>
            </w:r>
            <w:r>
              <w:rPr>
                <w:color w:val="auto"/>
                <w:szCs w:val="21"/>
                <w:highlight w:val="none"/>
                <w:vertAlign w:val="subscript"/>
              </w:rPr>
              <w:t>2</w:t>
            </w:r>
            <w:r>
              <w:rPr>
                <w:color w:val="auto"/>
                <w:szCs w:val="21"/>
                <w:highlight w:val="none"/>
              </w:rPr>
              <w:t>S、NH</w:t>
            </w:r>
            <w:r>
              <w:rPr>
                <w:color w:val="auto"/>
                <w:szCs w:val="21"/>
                <w:highlight w:val="none"/>
                <w:vertAlign w:val="subscript"/>
              </w:rPr>
              <w:t>3</w:t>
            </w:r>
            <w:r>
              <w:rPr>
                <w:rFonts w:hint="eastAsia"/>
                <w:color w:val="auto"/>
                <w:szCs w:val="21"/>
                <w:highlight w:val="none"/>
              </w:rPr>
              <w:t>、</w:t>
            </w:r>
            <w:r>
              <w:rPr>
                <w:color w:val="auto"/>
                <w:szCs w:val="21"/>
                <w:highlight w:val="none"/>
              </w:rPr>
              <w:t>臭气浓度</w:t>
            </w:r>
          </w:p>
        </w:tc>
        <w:tc>
          <w:tcPr>
            <w:tcW w:w="1575" w:type="pct"/>
            <w:noWrap w:val="0"/>
            <w:vAlign w:val="center"/>
          </w:tcPr>
          <w:p>
            <w:pPr>
              <w:adjustRightInd w:val="0"/>
              <w:snapToGrid w:val="0"/>
              <w:spacing w:line="240" w:lineRule="auto"/>
              <w:jc w:val="center"/>
              <w:rPr>
                <w:color w:val="auto"/>
                <w:szCs w:val="21"/>
                <w:highlight w:val="none"/>
              </w:rPr>
            </w:pPr>
            <w:r>
              <w:rPr>
                <w:rFonts w:hint="eastAsia" w:cs="Times New Roman"/>
                <w:b w:val="0"/>
                <w:bCs w:val="0"/>
                <w:color w:val="auto"/>
                <w:szCs w:val="21"/>
                <w:highlight w:val="none"/>
                <w:lang w:val="en-US" w:eastAsia="zh-CN"/>
              </w:rPr>
              <w:t>在设施周边投加除臭剂、定期消毒等措施</w:t>
            </w:r>
          </w:p>
        </w:tc>
        <w:tc>
          <w:tcPr>
            <w:tcW w:w="1177" w:type="pct"/>
            <w:noWrap w:val="0"/>
            <w:vAlign w:val="center"/>
          </w:tcPr>
          <w:p>
            <w:pPr>
              <w:adjustRightInd w:val="0"/>
              <w:snapToGrid w:val="0"/>
              <w:spacing w:line="240" w:lineRule="auto"/>
              <w:jc w:val="center"/>
              <w:rPr>
                <w:color w:val="auto"/>
                <w:szCs w:val="21"/>
                <w:highlight w:val="none"/>
              </w:rPr>
            </w:pPr>
            <w:r>
              <w:rPr>
                <w:color w:val="auto"/>
                <w:highlight w:val="none"/>
              </w:rPr>
              <w:t>《医疗机构水污染物排放标准》（GB18466-2005）中表3中污水处理站周边大气污染物最高允许浓度标准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柴油发电机废气</w:t>
            </w:r>
          </w:p>
        </w:tc>
        <w:tc>
          <w:tcPr>
            <w:tcW w:w="896" w:type="pct"/>
            <w:noWrap w:val="0"/>
            <w:vAlign w:val="center"/>
          </w:tcPr>
          <w:p>
            <w:pPr>
              <w:adjustRightInd w:val="0"/>
              <w:snapToGrid w:val="0"/>
              <w:spacing w:line="240" w:lineRule="auto"/>
              <w:jc w:val="center"/>
              <w:rPr>
                <w:rFonts w:hint="default" w:eastAsia="宋体"/>
                <w:color w:val="auto"/>
                <w:szCs w:val="21"/>
                <w:highlight w:val="none"/>
                <w:lang w:val="en-US" w:eastAsia="zh-CN"/>
              </w:rPr>
            </w:pPr>
            <w:r>
              <w:rPr>
                <w:rFonts w:hint="default" w:ascii="Times New Roman" w:hAnsi="Times New Roman" w:cs="Times New Roman"/>
                <w:color w:val="auto"/>
                <w:sz w:val="21"/>
                <w:szCs w:val="21"/>
                <w:highlight w:val="none"/>
              </w:rPr>
              <w:t>HC、CO等</w:t>
            </w:r>
          </w:p>
        </w:tc>
        <w:tc>
          <w:tcPr>
            <w:tcW w:w="1575" w:type="pct"/>
            <w:noWrap w:val="0"/>
            <w:vAlign w:val="center"/>
          </w:tcPr>
          <w:p>
            <w:pPr>
              <w:adjustRightInd w:val="0"/>
              <w:snapToGrid w:val="0"/>
              <w:spacing w:line="240" w:lineRule="auto"/>
              <w:jc w:val="center"/>
              <w:rPr>
                <w:rFonts w:hint="eastAsia" w:cs="Times New Roman"/>
                <w:b w:val="0"/>
                <w:bCs w:val="0"/>
                <w:color w:val="auto"/>
                <w:szCs w:val="21"/>
                <w:highlight w:val="none"/>
                <w:lang w:val="en-US" w:eastAsia="zh-CN"/>
              </w:rPr>
            </w:pPr>
            <w:r>
              <w:rPr>
                <w:rFonts w:hint="eastAsia"/>
                <w:color w:val="auto"/>
                <w:szCs w:val="21"/>
                <w:highlight w:val="none"/>
              </w:rPr>
              <w:t>经设备自带的消烟除尘装置处理后</w:t>
            </w:r>
            <w:r>
              <w:rPr>
                <w:rFonts w:hint="eastAsia"/>
                <w:color w:val="auto"/>
                <w:szCs w:val="21"/>
                <w:highlight w:val="none"/>
                <w:lang w:val="en-US" w:eastAsia="zh-CN"/>
              </w:rPr>
              <w:t>排放</w:t>
            </w:r>
          </w:p>
        </w:tc>
        <w:tc>
          <w:tcPr>
            <w:tcW w:w="1177" w:type="pct"/>
            <w:noWrap w:val="0"/>
            <w:vAlign w:val="center"/>
          </w:tcPr>
          <w:p>
            <w:pPr>
              <w:adjustRightInd w:val="0"/>
              <w:snapToGrid w:val="0"/>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食堂油烟</w:t>
            </w:r>
          </w:p>
        </w:tc>
        <w:tc>
          <w:tcPr>
            <w:tcW w:w="896"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油烟</w:t>
            </w:r>
          </w:p>
        </w:tc>
        <w:tc>
          <w:tcPr>
            <w:tcW w:w="1575"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食堂油烟经处理后由专用的油烟井引至</w:t>
            </w:r>
            <w:r>
              <w:rPr>
                <w:rFonts w:hint="eastAsia"/>
                <w:color w:val="auto"/>
                <w:szCs w:val="21"/>
                <w:highlight w:val="none"/>
                <w:lang w:eastAsia="zh-CN"/>
              </w:rPr>
              <w:t>食堂</w:t>
            </w:r>
            <w:r>
              <w:rPr>
                <w:rFonts w:hint="eastAsia"/>
                <w:color w:val="auto"/>
                <w:szCs w:val="21"/>
                <w:highlight w:val="none"/>
              </w:rPr>
              <w:t>楼顶排放</w:t>
            </w:r>
          </w:p>
        </w:tc>
        <w:tc>
          <w:tcPr>
            <w:tcW w:w="1177" w:type="pct"/>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汽车尾气</w:t>
            </w:r>
          </w:p>
        </w:tc>
        <w:tc>
          <w:tcPr>
            <w:tcW w:w="896" w:type="pct"/>
            <w:noWrap w:val="0"/>
            <w:vAlign w:val="center"/>
          </w:tcPr>
          <w:p>
            <w:pPr>
              <w:adjustRightInd w:val="0"/>
              <w:snapToGrid w:val="0"/>
              <w:spacing w:line="240" w:lineRule="auto"/>
              <w:jc w:val="center"/>
              <w:rPr>
                <w:rFonts w:hint="default"/>
                <w:color w:val="auto"/>
                <w:szCs w:val="21"/>
                <w:highlight w:val="none"/>
                <w:lang w:val="en-US"/>
              </w:rPr>
            </w:pPr>
            <w:r>
              <w:rPr>
                <w:rFonts w:hint="default"/>
                <w:color w:val="auto"/>
                <w:szCs w:val="21"/>
                <w:highlight w:val="none"/>
                <w:lang w:eastAsia="zh-CN"/>
              </w:rPr>
              <w:t>CO、NOx、TSP</w:t>
            </w:r>
            <w:r>
              <w:rPr>
                <w:rFonts w:hint="eastAsia"/>
                <w:color w:val="auto"/>
                <w:szCs w:val="21"/>
                <w:highlight w:val="none"/>
                <w:lang w:val="en-US" w:eastAsia="zh-CN"/>
              </w:rPr>
              <w:t>等</w:t>
            </w:r>
          </w:p>
        </w:tc>
        <w:tc>
          <w:tcPr>
            <w:tcW w:w="1575"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lang w:val="en-US" w:eastAsia="zh-CN"/>
              </w:rPr>
              <w:t>产生量较小，自然扩散</w:t>
            </w:r>
          </w:p>
        </w:tc>
        <w:tc>
          <w:tcPr>
            <w:tcW w:w="1177" w:type="pct"/>
            <w:noWrap w:val="0"/>
            <w:vAlign w:val="center"/>
          </w:tcPr>
          <w:p>
            <w:pPr>
              <w:adjustRightInd w:val="0"/>
              <w:snapToGrid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49" w:type="pct"/>
            <w:vMerge w:val="restart"/>
            <w:noWrap w:val="0"/>
            <w:vAlign w:val="center"/>
          </w:tcPr>
          <w:p>
            <w:pPr>
              <w:adjustRightInd w:val="0"/>
              <w:snapToGrid w:val="0"/>
              <w:spacing w:line="240" w:lineRule="auto"/>
              <w:jc w:val="center"/>
              <w:rPr>
                <w:color w:val="auto"/>
                <w:szCs w:val="21"/>
                <w:highlight w:val="none"/>
              </w:rPr>
            </w:pPr>
            <w:r>
              <w:rPr>
                <w:color w:val="auto"/>
                <w:szCs w:val="21"/>
                <w:highlight w:val="none"/>
              </w:rPr>
              <w:t>地表水环境</w:t>
            </w:r>
          </w:p>
        </w:tc>
        <w:tc>
          <w:tcPr>
            <w:tcW w:w="801" w:type="pct"/>
            <w:noWrap w:val="0"/>
            <w:vAlign w:val="center"/>
          </w:tcPr>
          <w:p>
            <w:pPr>
              <w:adjustRightInd w:val="0"/>
              <w:snapToGrid w:val="0"/>
              <w:spacing w:line="240" w:lineRule="auto"/>
              <w:jc w:val="center"/>
              <w:rPr>
                <w:color w:val="auto"/>
                <w:szCs w:val="21"/>
                <w:highlight w:val="none"/>
              </w:rPr>
            </w:pPr>
            <w:r>
              <w:rPr>
                <w:color w:val="auto"/>
                <w:szCs w:val="21"/>
                <w:highlight w:val="none"/>
              </w:rPr>
              <w:t>医疗废水</w:t>
            </w:r>
          </w:p>
        </w:tc>
        <w:tc>
          <w:tcPr>
            <w:tcW w:w="896" w:type="pct"/>
            <w:vMerge w:val="restart"/>
            <w:noWrap w:val="0"/>
            <w:vAlign w:val="center"/>
          </w:tcPr>
          <w:p>
            <w:pPr>
              <w:adjustRightInd w:val="0"/>
              <w:snapToGrid w:val="0"/>
              <w:spacing w:line="240" w:lineRule="auto"/>
              <w:jc w:val="center"/>
              <w:rPr>
                <w:color w:val="auto"/>
                <w:szCs w:val="21"/>
                <w:highlight w:val="none"/>
              </w:rPr>
            </w:pPr>
            <w:r>
              <w:rPr>
                <w:color w:val="auto"/>
                <w:szCs w:val="21"/>
                <w:highlight w:val="none"/>
              </w:rPr>
              <w:t>pH、COD、BOD</w:t>
            </w:r>
            <w:r>
              <w:rPr>
                <w:color w:val="auto"/>
                <w:szCs w:val="21"/>
                <w:highlight w:val="none"/>
                <w:vertAlign w:val="subscript"/>
              </w:rPr>
              <w:t>5</w:t>
            </w:r>
            <w:r>
              <w:rPr>
                <w:color w:val="auto"/>
                <w:szCs w:val="21"/>
                <w:highlight w:val="none"/>
              </w:rPr>
              <w:t>、NH</w:t>
            </w:r>
            <w:r>
              <w:rPr>
                <w:color w:val="auto"/>
                <w:szCs w:val="21"/>
                <w:highlight w:val="none"/>
                <w:vertAlign w:val="subscript"/>
              </w:rPr>
              <w:t>3</w:t>
            </w:r>
            <w:r>
              <w:rPr>
                <w:color w:val="auto"/>
                <w:szCs w:val="21"/>
                <w:highlight w:val="none"/>
              </w:rPr>
              <w:t>-N、SS、TP、总余氯、粪大肠菌群数</w:t>
            </w:r>
            <w:r>
              <w:rPr>
                <w:rFonts w:hint="eastAsia"/>
                <w:color w:val="auto"/>
                <w:szCs w:val="21"/>
                <w:highlight w:val="none"/>
              </w:rPr>
              <w:t>等</w:t>
            </w:r>
          </w:p>
        </w:tc>
        <w:tc>
          <w:tcPr>
            <w:tcW w:w="1575" w:type="pct"/>
            <w:vMerge w:val="restart"/>
            <w:noWrap w:val="0"/>
            <w:vAlign w:val="center"/>
          </w:tcPr>
          <w:p>
            <w:pPr>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eastAsia="zh-CN"/>
              </w:rPr>
              <w:t>化粪池</w:t>
            </w:r>
            <w:r>
              <w:rPr>
                <w:rFonts w:hint="eastAsia"/>
                <w:color w:val="auto"/>
                <w:szCs w:val="21"/>
                <w:highlight w:val="none"/>
              </w:rPr>
              <w:t>+</w:t>
            </w:r>
            <w:r>
              <w:rPr>
                <w:rFonts w:hint="eastAsia"/>
                <w:color w:val="auto"/>
                <w:szCs w:val="21"/>
                <w:highlight w:val="none"/>
                <w:lang w:val="en-US" w:eastAsia="zh-CN"/>
              </w:rPr>
              <w:t>一体化污水处理设施</w:t>
            </w:r>
          </w:p>
        </w:tc>
        <w:tc>
          <w:tcPr>
            <w:tcW w:w="1177" w:type="pct"/>
            <w:vMerge w:val="restart"/>
            <w:noWrap w:val="0"/>
            <w:vAlign w:val="center"/>
          </w:tcPr>
          <w:p>
            <w:pPr>
              <w:adjustRightInd w:val="0"/>
              <w:snapToGrid w:val="0"/>
              <w:spacing w:line="240" w:lineRule="auto"/>
              <w:jc w:val="center"/>
              <w:rPr>
                <w:color w:val="auto"/>
                <w:szCs w:val="21"/>
                <w:highlight w:val="none"/>
              </w:rPr>
            </w:pPr>
            <w:r>
              <w:rPr>
                <w:color w:val="auto"/>
                <w:szCs w:val="21"/>
                <w:highlight w:val="none"/>
              </w:rPr>
              <w:t>《医疗机构水污染物排放标准》（GB18466-2005）表3中排放限值（预处理标准）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rFonts w:hint="eastAsia"/>
                <w:color w:val="auto"/>
                <w:szCs w:val="21"/>
                <w:highlight w:val="none"/>
              </w:rPr>
            </w:pPr>
            <w:r>
              <w:rPr>
                <w:rFonts w:hint="eastAsia"/>
                <w:color w:val="auto"/>
                <w:szCs w:val="21"/>
                <w:highlight w:val="none"/>
              </w:rPr>
              <w:t>地面冲洗水</w:t>
            </w:r>
          </w:p>
        </w:tc>
        <w:tc>
          <w:tcPr>
            <w:tcW w:w="896" w:type="pct"/>
            <w:vMerge w:val="continue"/>
            <w:noWrap w:val="0"/>
            <w:vAlign w:val="center"/>
          </w:tcPr>
          <w:p>
            <w:pPr>
              <w:adjustRightInd w:val="0"/>
              <w:snapToGrid w:val="0"/>
              <w:spacing w:line="240" w:lineRule="auto"/>
              <w:jc w:val="center"/>
              <w:rPr>
                <w:color w:val="auto"/>
                <w:szCs w:val="21"/>
                <w:highlight w:val="none"/>
              </w:rPr>
            </w:pPr>
          </w:p>
        </w:tc>
        <w:tc>
          <w:tcPr>
            <w:tcW w:w="1575" w:type="pct"/>
            <w:vMerge w:val="continue"/>
            <w:noWrap w:val="0"/>
            <w:vAlign w:val="center"/>
          </w:tcPr>
          <w:p>
            <w:pPr>
              <w:adjustRightInd w:val="0"/>
              <w:snapToGrid w:val="0"/>
              <w:spacing w:line="240" w:lineRule="auto"/>
              <w:jc w:val="center"/>
              <w:rPr>
                <w:color w:val="auto"/>
                <w:szCs w:val="21"/>
                <w:highlight w:val="none"/>
              </w:rPr>
            </w:pPr>
          </w:p>
        </w:tc>
        <w:tc>
          <w:tcPr>
            <w:tcW w:w="1177" w:type="pct"/>
            <w:vMerge w:val="continue"/>
            <w:noWrap w:val="0"/>
            <w:vAlign w:val="center"/>
          </w:tcPr>
          <w:p>
            <w:pPr>
              <w:adjustRightInd w:val="0"/>
              <w:snapToGrid w:val="0"/>
              <w:spacing w:line="240" w:lineRule="auto"/>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color w:val="auto"/>
                <w:szCs w:val="21"/>
                <w:highlight w:val="none"/>
              </w:rPr>
            </w:pPr>
            <w:r>
              <w:rPr>
                <w:color w:val="auto"/>
                <w:szCs w:val="21"/>
                <w:highlight w:val="none"/>
              </w:rPr>
              <w:t>生活污水</w:t>
            </w:r>
          </w:p>
          <w:p>
            <w:pPr>
              <w:adjustRightInd w:val="0"/>
              <w:snapToGrid w:val="0"/>
              <w:spacing w:line="240" w:lineRule="auto"/>
              <w:jc w:val="center"/>
              <w:rPr>
                <w:color w:val="auto"/>
                <w:szCs w:val="21"/>
                <w:highlight w:val="none"/>
              </w:rPr>
            </w:pPr>
            <w:r>
              <w:rPr>
                <w:rFonts w:hint="eastAsia"/>
                <w:color w:val="auto"/>
                <w:szCs w:val="21"/>
                <w:highlight w:val="none"/>
              </w:rPr>
              <w:t>（含食堂废水）</w:t>
            </w:r>
          </w:p>
        </w:tc>
        <w:tc>
          <w:tcPr>
            <w:tcW w:w="896" w:type="pct"/>
            <w:noWrap w:val="0"/>
            <w:vAlign w:val="center"/>
          </w:tcPr>
          <w:p>
            <w:pPr>
              <w:adjustRightInd w:val="0"/>
              <w:snapToGrid w:val="0"/>
              <w:spacing w:line="240" w:lineRule="auto"/>
              <w:jc w:val="center"/>
              <w:rPr>
                <w:rFonts w:hint="eastAsia"/>
                <w:color w:val="auto"/>
                <w:szCs w:val="21"/>
                <w:highlight w:val="none"/>
              </w:rPr>
            </w:pPr>
            <w:r>
              <w:rPr>
                <w:color w:val="auto"/>
                <w:szCs w:val="21"/>
                <w:highlight w:val="none"/>
              </w:rPr>
              <w:t>pH、COD、BOD</w:t>
            </w:r>
            <w:r>
              <w:rPr>
                <w:color w:val="auto"/>
                <w:szCs w:val="21"/>
                <w:highlight w:val="none"/>
                <w:vertAlign w:val="subscript"/>
              </w:rPr>
              <w:t>5</w:t>
            </w:r>
            <w:r>
              <w:rPr>
                <w:color w:val="auto"/>
                <w:szCs w:val="21"/>
                <w:highlight w:val="none"/>
              </w:rPr>
              <w:t>、NH</w:t>
            </w:r>
            <w:r>
              <w:rPr>
                <w:color w:val="auto"/>
                <w:szCs w:val="21"/>
                <w:highlight w:val="none"/>
                <w:vertAlign w:val="subscript"/>
              </w:rPr>
              <w:t>3</w:t>
            </w:r>
            <w:r>
              <w:rPr>
                <w:color w:val="auto"/>
                <w:szCs w:val="21"/>
                <w:highlight w:val="none"/>
              </w:rPr>
              <w:t>-N、SS、TP、动植物油</w:t>
            </w:r>
            <w:r>
              <w:rPr>
                <w:rFonts w:hint="eastAsia"/>
                <w:color w:val="auto"/>
                <w:szCs w:val="21"/>
                <w:highlight w:val="none"/>
              </w:rPr>
              <w:t>等</w:t>
            </w:r>
          </w:p>
        </w:tc>
        <w:tc>
          <w:tcPr>
            <w:tcW w:w="1575"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lang w:val="en-US" w:eastAsia="zh-CN"/>
              </w:rPr>
              <w:t>油水分离器</w:t>
            </w:r>
            <w:r>
              <w:rPr>
                <w:rFonts w:hint="eastAsia"/>
                <w:color w:val="auto"/>
                <w:szCs w:val="21"/>
                <w:highlight w:val="none"/>
              </w:rPr>
              <w:t>+</w:t>
            </w:r>
            <w:r>
              <w:rPr>
                <w:rFonts w:hint="eastAsia"/>
                <w:color w:val="auto"/>
                <w:szCs w:val="21"/>
                <w:highlight w:val="none"/>
                <w:lang w:eastAsia="zh-CN"/>
              </w:rPr>
              <w:t>化粪池</w:t>
            </w:r>
            <w:r>
              <w:rPr>
                <w:rFonts w:hint="eastAsia"/>
                <w:color w:val="auto"/>
                <w:szCs w:val="21"/>
                <w:highlight w:val="none"/>
              </w:rPr>
              <w:t>+</w:t>
            </w:r>
            <w:r>
              <w:rPr>
                <w:rFonts w:hint="eastAsia"/>
                <w:color w:val="auto"/>
                <w:szCs w:val="21"/>
                <w:highlight w:val="none"/>
                <w:lang w:val="en-US" w:eastAsia="zh-CN"/>
              </w:rPr>
              <w:t>一体化污水处理设施</w:t>
            </w:r>
          </w:p>
        </w:tc>
        <w:tc>
          <w:tcPr>
            <w:tcW w:w="1177" w:type="pct"/>
            <w:vMerge w:val="continue"/>
            <w:noWrap w:val="0"/>
            <w:vAlign w:val="center"/>
          </w:tcPr>
          <w:p>
            <w:pPr>
              <w:adjustRightInd w:val="0"/>
              <w:snapToGrid w:val="0"/>
              <w:spacing w:line="240" w:lineRule="auto"/>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restart"/>
            <w:noWrap w:val="0"/>
            <w:vAlign w:val="center"/>
          </w:tcPr>
          <w:p>
            <w:pPr>
              <w:adjustRightInd w:val="0"/>
              <w:snapToGrid w:val="0"/>
              <w:spacing w:line="240" w:lineRule="auto"/>
              <w:jc w:val="center"/>
              <w:rPr>
                <w:color w:val="auto"/>
                <w:szCs w:val="21"/>
                <w:highlight w:val="none"/>
              </w:rPr>
            </w:pPr>
            <w:r>
              <w:rPr>
                <w:color w:val="auto"/>
                <w:szCs w:val="21"/>
                <w:highlight w:val="none"/>
              </w:rPr>
              <w:t>声环境</w:t>
            </w:r>
          </w:p>
        </w:tc>
        <w:tc>
          <w:tcPr>
            <w:tcW w:w="801" w:type="pct"/>
            <w:noWrap w:val="0"/>
            <w:vAlign w:val="center"/>
          </w:tcPr>
          <w:p>
            <w:pPr>
              <w:adjustRightInd w:val="0"/>
              <w:snapToGrid w:val="0"/>
              <w:spacing w:line="240" w:lineRule="auto"/>
              <w:jc w:val="center"/>
              <w:rPr>
                <w:color w:val="auto"/>
                <w:szCs w:val="21"/>
                <w:highlight w:val="none"/>
              </w:rPr>
            </w:pPr>
            <w:r>
              <w:rPr>
                <w:color w:val="auto"/>
                <w:szCs w:val="21"/>
                <w:highlight w:val="none"/>
              </w:rPr>
              <w:t>设备噪声</w:t>
            </w:r>
          </w:p>
        </w:tc>
        <w:tc>
          <w:tcPr>
            <w:tcW w:w="896" w:type="pct"/>
            <w:noWrap w:val="0"/>
            <w:vAlign w:val="center"/>
          </w:tcPr>
          <w:p>
            <w:pPr>
              <w:adjustRightInd w:val="0"/>
              <w:snapToGrid w:val="0"/>
              <w:spacing w:line="240" w:lineRule="auto"/>
              <w:jc w:val="center"/>
              <w:rPr>
                <w:color w:val="auto"/>
                <w:szCs w:val="21"/>
                <w:highlight w:val="none"/>
              </w:rPr>
            </w:pPr>
            <w:r>
              <w:rPr>
                <w:color w:val="auto"/>
                <w:szCs w:val="21"/>
                <w:highlight w:val="none"/>
              </w:rPr>
              <w:t>噪声</w:t>
            </w:r>
          </w:p>
        </w:tc>
        <w:tc>
          <w:tcPr>
            <w:tcW w:w="1575" w:type="pct"/>
            <w:noWrap w:val="0"/>
            <w:vAlign w:val="center"/>
          </w:tcPr>
          <w:p>
            <w:pPr>
              <w:adjustRightInd w:val="0"/>
              <w:snapToGrid w:val="0"/>
              <w:spacing w:line="240" w:lineRule="auto"/>
              <w:jc w:val="center"/>
              <w:rPr>
                <w:color w:val="auto"/>
                <w:szCs w:val="21"/>
                <w:highlight w:val="none"/>
              </w:rPr>
            </w:pPr>
            <w:r>
              <w:rPr>
                <w:rFonts w:hint="default" w:ascii="Times New Roman" w:hAnsi="Times New Roman" w:cs="Times New Roman"/>
                <w:color w:val="auto"/>
                <w:highlight w:val="none"/>
                <w:vertAlign w:val="baseline"/>
              </w:rPr>
              <w:t>选用低噪声设备；高噪声设备置于单独的房间内，安装设备减震器，加强管理，通过隔声和距离衰减使噪声达标</w:t>
            </w:r>
          </w:p>
        </w:tc>
        <w:tc>
          <w:tcPr>
            <w:tcW w:w="1177" w:type="pct"/>
            <w:vMerge w:val="restart"/>
            <w:noWrap w:val="0"/>
            <w:vAlign w:val="center"/>
          </w:tcPr>
          <w:p>
            <w:pPr>
              <w:adjustRightInd w:val="0"/>
              <w:snapToGrid w:val="0"/>
              <w:spacing w:line="240" w:lineRule="auto"/>
              <w:jc w:val="center"/>
              <w:rPr>
                <w:color w:val="auto"/>
                <w:szCs w:val="21"/>
                <w:highlight w:val="none"/>
              </w:rPr>
            </w:pPr>
            <w:r>
              <w:rPr>
                <w:color w:val="auto"/>
                <w:szCs w:val="21"/>
                <w:highlight w:val="none"/>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color w:val="auto"/>
                <w:szCs w:val="21"/>
                <w:highlight w:val="none"/>
              </w:rPr>
            </w:pPr>
            <w:r>
              <w:rPr>
                <w:color w:val="auto"/>
                <w:szCs w:val="21"/>
                <w:highlight w:val="none"/>
              </w:rPr>
              <w:t>车辆噪声</w:t>
            </w:r>
          </w:p>
        </w:tc>
        <w:tc>
          <w:tcPr>
            <w:tcW w:w="896" w:type="pct"/>
            <w:noWrap w:val="0"/>
            <w:vAlign w:val="center"/>
          </w:tcPr>
          <w:p>
            <w:pPr>
              <w:adjustRightInd w:val="0"/>
              <w:snapToGrid w:val="0"/>
              <w:spacing w:line="240" w:lineRule="auto"/>
              <w:jc w:val="center"/>
              <w:rPr>
                <w:color w:val="auto"/>
                <w:szCs w:val="21"/>
                <w:highlight w:val="none"/>
              </w:rPr>
            </w:pPr>
            <w:r>
              <w:rPr>
                <w:color w:val="auto"/>
                <w:szCs w:val="21"/>
                <w:highlight w:val="none"/>
              </w:rPr>
              <w:t>噪声</w:t>
            </w:r>
          </w:p>
        </w:tc>
        <w:tc>
          <w:tcPr>
            <w:tcW w:w="1575" w:type="pct"/>
            <w:noWrap w:val="0"/>
            <w:vAlign w:val="center"/>
          </w:tcPr>
          <w:p>
            <w:pPr>
              <w:adjustRightInd w:val="0"/>
              <w:snapToGrid w:val="0"/>
              <w:spacing w:line="240" w:lineRule="auto"/>
              <w:jc w:val="center"/>
              <w:rPr>
                <w:color w:val="auto"/>
                <w:szCs w:val="21"/>
                <w:highlight w:val="none"/>
              </w:rPr>
            </w:pPr>
            <w:r>
              <w:rPr>
                <w:color w:val="auto"/>
                <w:szCs w:val="21"/>
                <w:highlight w:val="none"/>
              </w:rPr>
              <w:t>减速慢行，加强管理、设置禁止鸣笛等标识标牌</w:t>
            </w:r>
          </w:p>
        </w:tc>
        <w:tc>
          <w:tcPr>
            <w:tcW w:w="1177" w:type="pct"/>
            <w:vMerge w:val="continue"/>
            <w:noWrap w:val="0"/>
            <w:vAlign w:val="center"/>
          </w:tcPr>
          <w:p>
            <w:pPr>
              <w:adjustRightInd w:val="0"/>
              <w:snapToGrid w:val="0"/>
              <w:spacing w:line="240" w:lineRule="auto"/>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noWrap w:val="0"/>
            <w:vAlign w:val="center"/>
          </w:tcPr>
          <w:p>
            <w:pPr>
              <w:adjustRightInd w:val="0"/>
              <w:snapToGrid w:val="0"/>
              <w:spacing w:line="240" w:lineRule="auto"/>
              <w:jc w:val="center"/>
              <w:rPr>
                <w:color w:val="auto"/>
                <w:szCs w:val="21"/>
                <w:highlight w:val="none"/>
              </w:rPr>
            </w:pPr>
          </w:p>
        </w:tc>
        <w:tc>
          <w:tcPr>
            <w:tcW w:w="801" w:type="pct"/>
            <w:noWrap w:val="0"/>
            <w:vAlign w:val="center"/>
          </w:tcPr>
          <w:p>
            <w:pPr>
              <w:adjustRightInd w:val="0"/>
              <w:snapToGrid w:val="0"/>
              <w:spacing w:line="240" w:lineRule="auto"/>
              <w:jc w:val="center"/>
              <w:rPr>
                <w:color w:val="auto"/>
                <w:szCs w:val="21"/>
                <w:highlight w:val="none"/>
              </w:rPr>
            </w:pPr>
            <w:r>
              <w:rPr>
                <w:color w:val="auto"/>
                <w:szCs w:val="21"/>
                <w:highlight w:val="none"/>
              </w:rPr>
              <w:t>社会生活噪声</w:t>
            </w:r>
          </w:p>
        </w:tc>
        <w:tc>
          <w:tcPr>
            <w:tcW w:w="896" w:type="pct"/>
            <w:noWrap w:val="0"/>
            <w:vAlign w:val="center"/>
          </w:tcPr>
          <w:p>
            <w:pPr>
              <w:adjustRightInd w:val="0"/>
              <w:snapToGrid w:val="0"/>
              <w:spacing w:line="240" w:lineRule="auto"/>
              <w:jc w:val="center"/>
              <w:rPr>
                <w:color w:val="auto"/>
                <w:szCs w:val="21"/>
                <w:highlight w:val="none"/>
              </w:rPr>
            </w:pPr>
            <w:r>
              <w:rPr>
                <w:color w:val="auto"/>
                <w:szCs w:val="21"/>
                <w:highlight w:val="none"/>
              </w:rPr>
              <w:t>噪声</w:t>
            </w:r>
          </w:p>
        </w:tc>
        <w:tc>
          <w:tcPr>
            <w:tcW w:w="1575" w:type="pct"/>
            <w:noWrap w:val="0"/>
            <w:vAlign w:val="center"/>
          </w:tcPr>
          <w:p>
            <w:pPr>
              <w:adjustRightInd w:val="0"/>
              <w:snapToGrid w:val="0"/>
              <w:spacing w:line="240" w:lineRule="auto"/>
              <w:jc w:val="center"/>
              <w:rPr>
                <w:color w:val="auto"/>
                <w:szCs w:val="21"/>
                <w:highlight w:val="none"/>
              </w:rPr>
            </w:pPr>
            <w:r>
              <w:rPr>
                <w:color w:val="auto"/>
                <w:szCs w:val="21"/>
                <w:highlight w:val="none"/>
              </w:rPr>
              <w:t>加强管理</w:t>
            </w:r>
          </w:p>
        </w:tc>
        <w:tc>
          <w:tcPr>
            <w:tcW w:w="1177" w:type="pct"/>
            <w:vMerge w:val="continue"/>
            <w:noWrap w:val="0"/>
            <w:vAlign w:val="center"/>
          </w:tcPr>
          <w:p>
            <w:pPr>
              <w:adjustRightInd w:val="0"/>
              <w:snapToGrid w:val="0"/>
              <w:spacing w:line="240" w:lineRule="auto"/>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noWrap w:val="0"/>
            <w:vAlign w:val="center"/>
          </w:tcPr>
          <w:p>
            <w:pPr>
              <w:adjustRightInd w:val="0"/>
              <w:snapToGrid w:val="0"/>
              <w:spacing w:line="240" w:lineRule="auto"/>
              <w:jc w:val="center"/>
              <w:rPr>
                <w:color w:val="auto"/>
                <w:szCs w:val="21"/>
                <w:highlight w:val="none"/>
              </w:rPr>
            </w:pPr>
            <w:r>
              <w:rPr>
                <w:color w:val="auto"/>
                <w:szCs w:val="21"/>
                <w:highlight w:val="none"/>
              </w:rPr>
              <w:t>电磁辐射</w:t>
            </w:r>
          </w:p>
        </w:tc>
        <w:tc>
          <w:tcPr>
            <w:tcW w:w="801"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896"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1575"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c>
          <w:tcPr>
            <w:tcW w:w="1177" w:type="pct"/>
            <w:noWrap w:val="0"/>
            <w:vAlign w:val="center"/>
          </w:tcPr>
          <w:p>
            <w:pPr>
              <w:adjustRightInd w:val="0"/>
              <w:snapToGrid w:val="0"/>
              <w:spacing w:line="240" w:lineRule="auto"/>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noWrap w:val="0"/>
            <w:vAlign w:val="center"/>
          </w:tcPr>
          <w:p>
            <w:pPr>
              <w:adjustRightInd w:val="0"/>
              <w:snapToGrid w:val="0"/>
              <w:spacing w:line="240" w:lineRule="auto"/>
              <w:jc w:val="center"/>
              <w:rPr>
                <w:color w:val="auto"/>
                <w:szCs w:val="21"/>
                <w:highlight w:val="none"/>
              </w:rPr>
            </w:pPr>
            <w:r>
              <w:rPr>
                <w:color w:val="auto"/>
                <w:szCs w:val="21"/>
                <w:highlight w:val="none"/>
              </w:rPr>
              <w:t>固体废物</w:t>
            </w:r>
          </w:p>
        </w:tc>
        <w:tc>
          <w:tcPr>
            <w:tcW w:w="4450" w:type="pct"/>
            <w:gridSpan w:val="4"/>
            <w:noWrap w:val="0"/>
            <w:vAlign w:val="center"/>
          </w:tcPr>
          <w:p>
            <w:pPr>
              <w:spacing w:line="240" w:lineRule="auto"/>
              <w:rPr>
                <w:rFonts w:hint="eastAsia"/>
                <w:color w:val="auto"/>
                <w:szCs w:val="21"/>
                <w:highlight w:val="none"/>
              </w:rPr>
            </w:pPr>
            <w:r>
              <w:rPr>
                <w:b/>
                <w:color w:val="auto"/>
                <w:szCs w:val="21"/>
                <w:highlight w:val="none"/>
              </w:rPr>
              <w:t>一般废物</w:t>
            </w:r>
            <w:r>
              <w:rPr>
                <w:color w:val="auto"/>
                <w:szCs w:val="21"/>
                <w:highlight w:val="none"/>
              </w:rPr>
              <w:t>：生活垃圾经袋装收集后</w:t>
            </w:r>
            <w:r>
              <w:rPr>
                <w:rFonts w:hint="eastAsia"/>
                <w:color w:val="auto"/>
                <w:szCs w:val="21"/>
                <w:highlight w:val="none"/>
                <w:lang w:eastAsia="zh-CN"/>
              </w:rPr>
              <w:t>，</w:t>
            </w:r>
            <w:r>
              <w:rPr>
                <w:color w:val="auto"/>
                <w:szCs w:val="21"/>
                <w:highlight w:val="none"/>
              </w:rPr>
              <w:t>由市政环卫部门统一清运处理，垃圾实现日产日清；餐厨垃圾（</w:t>
            </w:r>
            <w:r>
              <w:rPr>
                <w:rFonts w:hint="eastAsia"/>
                <w:color w:val="auto"/>
                <w:szCs w:val="21"/>
                <w:highlight w:val="none"/>
                <w:lang w:eastAsia="zh-CN"/>
              </w:rPr>
              <w:t>含</w:t>
            </w:r>
            <w:r>
              <w:rPr>
                <w:rFonts w:hint="default" w:ascii="Times New Roman" w:hAnsi="Times New Roman" w:cs="Times New Roman"/>
                <w:color w:val="auto"/>
                <w:sz w:val="21"/>
                <w:szCs w:val="21"/>
                <w:highlight w:val="none"/>
              </w:rPr>
              <w:t>油水分离浮油</w:t>
            </w:r>
            <w:r>
              <w:rPr>
                <w:color w:val="auto"/>
                <w:szCs w:val="21"/>
                <w:highlight w:val="none"/>
              </w:rPr>
              <w:t>）采用专用收集容器收集后交由</w:t>
            </w:r>
            <w:r>
              <w:rPr>
                <w:rFonts w:hint="eastAsia" w:cs="Times New Roman"/>
                <w:color w:val="auto"/>
                <w:sz w:val="21"/>
                <w:szCs w:val="21"/>
                <w:highlight w:val="none"/>
                <w:lang w:eastAsia="zh-CN"/>
              </w:rPr>
              <w:t>有餐厨垃圾处置资质单位</w:t>
            </w:r>
            <w:r>
              <w:rPr>
                <w:color w:val="auto"/>
                <w:szCs w:val="21"/>
                <w:highlight w:val="none"/>
              </w:rPr>
              <w:t>，实现日产日清</w:t>
            </w:r>
            <w:r>
              <w:rPr>
                <w:rFonts w:hint="eastAsia"/>
                <w:color w:val="auto"/>
                <w:szCs w:val="21"/>
                <w:highlight w:val="none"/>
                <w:lang w:eastAsia="zh-CN"/>
              </w:rPr>
              <w:t>；</w:t>
            </w:r>
            <w:r>
              <w:rPr>
                <w:rFonts w:hint="default" w:ascii="Times New Roman" w:hAnsi="Times New Roman" w:cs="Times New Roman"/>
                <w:color w:val="auto"/>
                <w:sz w:val="21"/>
                <w:szCs w:val="21"/>
                <w:highlight w:val="none"/>
              </w:rPr>
              <w:t>未感染的输液瓶（袋）</w:t>
            </w:r>
            <w:r>
              <w:rPr>
                <w:rFonts w:hint="eastAsia" w:cs="Times New Roman"/>
                <w:color w:val="auto"/>
                <w:sz w:val="21"/>
                <w:szCs w:val="21"/>
                <w:highlight w:val="none"/>
                <w:lang w:val="en-US" w:eastAsia="zh-CN"/>
              </w:rPr>
              <w:t>收集后暂存于一般固废暂存间，定期</w:t>
            </w:r>
            <w:r>
              <w:rPr>
                <w:rFonts w:hint="eastAsia" w:cs="Times New Roman"/>
                <w:color w:val="auto"/>
                <w:sz w:val="21"/>
                <w:szCs w:val="21"/>
                <w:highlight w:val="none"/>
                <w:lang w:eastAsia="zh-CN"/>
              </w:rPr>
              <w:t>交由回收公司处理</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废包装材料</w:t>
            </w:r>
            <w:r>
              <w:rPr>
                <w:rFonts w:hint="eastAsia" w:cs="Times New Roman"/>
                <w:color w:val="auto"/>
                <w:sz w:val="21"/>
                <w:szCs w:val="21"/>
                <w:highlight w:val="none"/>
                <w:lang w:val="en-US" w:eastAsia="zh-CN"/>
              </w:rPr>
              <w:t>收集后</w:t>
            </w:r>
            <w:r>
              <w:rPr>
                <w:rFonts w:hint="default" w:ascii="Times New Roman" w:hAnsi="Times New Roman" w:cs="Times New Roman"/>
                <w:color w:val="auto"/>
                <w:sz w:val="21"/>
                <w:szCs w:val="21"/>
                <w:highlight w:val="none"/>
                <w:lang w:val="en-US" w:eastAsia="zh-CN"/>
              </w:rPr>
              <w:t>外售废品回收站</w:t>
            </w:r>
            <w:r>
              <w:rPr>
                <w:rFonts w:hint="eastAsia" w:cs="Times New Roman"/>
                <w:color w:val="auto"/>
                <w:sz w:val="21"/>
                <w:szCs w:val="21"/>
                <w:highlight w:val="none"/>
                <w:lang w:val="en-US" w:eastAsia="zh-CN"/>
              </w:rPr>
              <w:t>；废过滤材料（废多介质材料、废活性炭、废树脂软化器、废反渗透膜等）更换下来后交由厂家回收</w:t>
            </w:r>
            <w:r>
              <w:rPr>
                <w:rFonts w:hint="eastAsia"/>
                <w:color w:val="auto"/>
                <w:szCs w:val="21"/>
                <w:highlight w:val="none"/>
              </w:rPr>
              <w:t xml:space="preserve">。 </w:t>
            </w:r>
          </w:p>
          <w:p>
            <w:pPr>
              <w:adjustRightInd w:val="0"/>
              <w:snapToGrid w:val="0"/>
              <w:spacing w:line="240" w:lineRule="auto"/>
              <w:rPr>
                <w:color w:val="auto"/>
                <w:szCs w:val="21"/>
                <w:highlight w:val="none"/>
              </w:rPr>
            </w:pPr>
            <w:r>
              <w:rPr>
                <w:b/>
                <w:color w:val="auto"/>
                <w:szCs w:val="21"/>
                <w:highlight w:val="none"/>
              </w:rPr>
              <w:t>危险废物</w:t>
            </w:r>
            <w:r>
              <w:rPr>
                <w:color w:val="auto"/>
                <w:szCs w:val="21"/>
                <w:highlight w:val="none"/>
              </w:rPr>
              <w:t>：医疗废物采用专用收集容器分类暂存于医废暂存间，每天交由有医疗废物转运和处置资质的单位处理，严格落实日产日清要求，医疗废物暂存间应落实“防风、防雨、防晒、防渗漏”的“四防”措施，设置警示标识和防渗漏、防鼠、防蚊蝇、防蟑螂、防盗以及预防儿童接触等安全措施，并定期进行消毒和清洁</w:t>
            </w:r>
            <w:r>
              <w:rPr>
                <w:rFonts w:hint="eastAsia"/>
                <w:color w:val="auto"/>
                <w:szCs w:val="21"/>
                <w:highlight w:val="none"/>
              </w:rPr>
              <w:t>。</w:t>
            </w:r>
            <w:r>
              <w:rPr>
                <w:color w:val="auto"/>
                <w:szCs w:val="21"/>
                <w:highlight w:val="none"/>
              </w:rPr>
              <w:t>污水处理系统</w:t>
            </w:r>
            <w:r>
              <w:rPr>
                <w:rFonts w:hint="eastAsia"/>
                <w:color w:val="auto"/>
                <w:szCs w:val="21"/>
                <w:highlight w:val="none"/>
                <w:lang w:val="en-US" w:eastAsia="zh-CN"/>
              </w:rPr>
              <w:t>产生的</w:t>
            </w:r>
            <w:r>
              <w:rPr>
                <w:color w:val="auto"/>
                <w:szCs w:val="21"/>
                <w:highlight w:val="none"/>
              </w:rPr>
              <w:t>污泥定期清掏后交具资质的单位清运处理</w:t>
            </w:r>
            <w:r>
              <w:rPr>
                <w:rFonts w:hint="eastAsia"/>
                <w:color w:val="auto"/>
                <w:szCs w:val="21"/>
                <w:highlight w:val="none"/>
              </w:rPr>
              <w:t>，</w:t>
            </w:r>
            <w:r>
              <w:rPr>
                <w:color w:val="auto"/>
                <w:szCs w:val="21"/>
                <w:highlight w:val="none"/>
              </w:rPr>
              <w:t>不在项目内停留；</w:t>
            </w:r>
            <w:r>
              <w:rPr>
                <w:rFonts w:hint="eastAsia"/>
                <w:color w:val="auto"/>
                <w:szCs w:val="21"/>
                <w:highlight w:val="none"/>
                <w:lang w:val="en-US" w:eastAsia="zh-CN"/>
              </w:rPr>
              <w:t>废药品</w:t>
            </w:r>
            <w:r>
              <w:rPr>
                <w:color w:val="auto"/>
                <w:szCs w:val="21"/>
                <w:highlight w:val="none"/>
              </w:rPr>
              <w:t>暂存</w:t>
            </w:r>
            <w:r>
              <w:rPr>
                <w:rFonts w:hint="eastAsia"/>
                <w:color w:val="auto"/>
                <w:szCs w:val="21"/>
                <w:highlight w:val="none"/>
              </w:rPr>
              <w:t>医疗废物暂存间</w:t>
            </w:r>
            <w:r>
              <w:rPr>
                <w:color w:val="auto"/>
                <w:szCs w:val="21"/>
                <w:highlight w:val="none"/>
              </w:rPr>
              <w:t>内</w:t>
            </w:r>
            <w:r>
              <w:rPr>
                <w:rFonts w:hint="eastAsia"/>
                <w:color w:val="auto"/>
                <w:szCs w:val="21"/>
                <w:highlight w:val="none"/>
              </w:rPr>
              <w:t>，</w:t>
            </w:r>
            <w:r>
              <w:rPr>
                <w:rFonts w:hint="eastAsia"/>
                <w:color w:val="auto"/>
                <w:szCs w:val="21"/>
                <w:highlight w:val="none"/>
                <w:lang w:val="en-US" w:eastAsia="zh-CN"/>
              </w:rPr>
              <w:t>交</w:t>
            </w:r>
            <w:r>
              <w:rPr>
                <w:color w:val="auto"/>
                <w:szCs w:val="21"/>
                <w:highlight w:val="none"/>
              </w:rPr>
              <w:t>由有资质单位处置</w:t>
            </w:r>
            <w:r>
              <w:rPr>
                <w:rFonts w:hint="eastAsia"/>
                <w:color w:val="auto"/>
                <w:szCs w:val="21"/>
                <w:highlight w:val="none"/>
                <w:lang w:eastAsia="zh-CN"/>
              </w:rPr>
              <w:t>；</w:t>
            </w:r>
            <w:r>
              <w:rPr>
                <w:rFonts w:hint="eastAsia"/>
                <w:color w:val="auto"/>
                <w:szCs w:val="21"/>
                <w:highlight w:val="none"/>
                <w:lang w:val="en-US" w:eastAsia="zh-CN"/>
              </w:rPr>
              <w:t>废紫外灯更换后交由</w:t>
            </w:r>
            <w:r>
              <w:rPr>
                <w:color w:val="auto"/>
                <w:szCs w:val="21"/>
                <w:highlight w:val="none"/>
              </w:rPr>
              <w:t>有资质单位处置</w:t>
            </w:r>
            <w:r>
              <w:rPr>
                <w:rFonts w:hint="eastAsia"/>
                <w:color w:val="auto"/>
                <w:szCs w:val="21"/>
                <w:highlight w:val="none"/>
              </w:rPr>
              <w:t>。</w:t>
            </w:r>
            <w:r>
              <w:rPr>
                <w:color w:val="auto"/>
                <w:szCs w:val="21"/>
                <w:highlight w:val="none"/>
              </w:rPr>
              <w:t>上述危险废物均要求交由有资质的单位处置，并落实联单责任制。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noWrap w:val="0"/>
            <w:vAlign w:val="center"/>
          </w:tcPr>
          <w:p>
            <w:pPr>
              <w:adjustRightInd w:val="0"/>
              <w:snapToGrid w:val="0"/>
              <w:spacing w:line="240" w:lineRule="auto"/>
              <w:jc w:val="center"/>
              <w:rPr>
                <w:color w:val="auto"/>
                <w:szCs w:val="21"/>
                <w:highlight w:val="none"/>
              </w:rPr>
            </w:pPr>
            <w:r>
              <w:rPr>
                <w:color w:val="auto"/>
                <w:szCs w:val="21"/>
                <w:highlight w:val="none"/>
              </w:rPr>
              <w:t>土壤及地下水污染防治措施</w:t>
            </w:r>
          </w:p>
        </w:tc>
        <w:tc>
          <w:tcPr>
            <w:tcW w:w="4450" w:type="pct"/>
            <w:gridSpan w:val="4"/>
            <w:noWrap w:val="0"/>
            <w:vAlign w:val="center"/>
          </w:tcPr>
          <w:p>
            <w:pPr>
              <w:keepNext w:val="0"/>
              <w:keepLines w:val="0"/>
              <w:pageBreakBefore w:val="0"/>
              <w:wordWrap/>
              <w:topLinePunct w:val="0"/>
              <w:bidi w:val="0"/>
              <w:spacing w:line="240" w:lineRule="auto"/>
              <w:ind w:left="0" w:leftChars="0" w:firstLine="420" w:firstLineChars="200"/>
              <w:rPr>
                <w:rFonts w:hint="eastAsia" w:eastAsia="宋体"/>
                <w:color w:val="auto"/>
                <w:szCs w:val="21"/>
                <w:highlight w:val="none"/>
                <w:lang w:val="en-US" w:eastAsia="zh-CN"/>
              </w:rPr>
            </w:pPr>
            <w:r>
              <w:rPr>
                <w:rFonts w:hint="eastAsia"/>
                <w:color w:val="auto"/>
                <w:szCs w:val="21"/>
                <w:highlight w:val="none"/>
              </w:rPr>
              <w:t>危废暂存间、</w:t>
            </w:r>
            <w:r>
              <w:rPr>
                <w:rFonts w:hint="eastAsia"/>
                <w:color w:val="auto"/>
                <w:szCs w:val="21"/>
                <w:highlight w:val="none"/>
                <w:lang w:val="en-US" w:eastAsia="zh-CN"/>
              </w:rPr>
              <w:t>柴油</w:t>
            </w:r>
            <w:r>
              <w:rPr>
                <w:rFonts w:hint="eastAsia"/>
                <w:color w:val="auto"/>
                <w:szCs w:val="21"/>
                <w:highlight w:val="none"/>
              </w:rPr>
              <w:t>发电机房</w:t>
            </w:r>
            <w:r>
              <w:rPr>
                <w:rFonts w:hint="eastAsia"/>
                <w:color w:val="auto"/>
                <w:szCs w:val="21"/>
                <w:highlight w:val="none"/>
                <w:lang w:eastAsia="zh-CN"/>
              </w:rPr>
              <w:t>（</w:t>
            </w:r>
            <w:r>
              <w:rPr>
                <w:rFonts w:hint="eastAsia"/>
                <w:color w:val="auto"/>
                <w:szCs w:val="21"/>
                <w:highlight w:val="none"/>
                <w:lang w:val="en-US" w:eastAsia="zh-CN"/>
              </w:rPr>
              <w:t>含储油间</w:t>
            </w:r>
            <w:r>
              <w:rPr>
                <w:rFonts w:hint="eastAsia"/>
                <w:color w:val="auto"/>
                <w:szCs w:val="21"/>
                <w:highlight w:val="none"/>
                <w:lang w:eastAsia="zh-CN"/>
              </w:rPr>
              <w:t>）、</w:t>
            </w:r>
            <w:r>
              <w:rPr>
                <w:rFonts w:hint="eastAsia"/>
                <w:color w:val="auto"/>
                <w:szCs w:val="21"/>
                <w:highlight w:val="none"/>
                <w:lang w:val="en-US" w:eastAsia="zh-CN"/>
              </w:rPr>
              <w:t>污水处理设施池体、化粪池等重点防渗区拟采用</w:t>
            </w:r>
            <w:r>
              <w:rPr>
                <w:rFonts w:hint="default" w:ascii="Times New Roman" w:hAnsi="Times New Roman" w:cs="Times New Roman"/>
                <w:color w:val="auto"/>
                <w:sz w:val="21"/>
                <w:szCs w:val="18"/>
                <w:highlight w:val="none"/>
              </w:rPr>
              <w:t>防渗混凝土+</w:t>
            </w:r>
            <w:r>
              <w:rPr>
                <w:rFonts w:hint="default" w:ascii="Times New Roman" w:hAnsi="Times New Roman" w:cs="Times New Roman"/>
                <w:color w:val="auto"/>
                <w:sz w:val="21"/>
                <w:szCs w:val="18"/>
                <w:highlight w:val="none"/>
                <w:lang w:eastAsia="zh-CN"/>
              </w:rPr>
              <w:t>环氧树脂防渗层或</w:t>
            </w:r>
            <w:r>
              <w:rPr>
                <w:rFonts w:hint="default" w:ascii="Times New Roman" w:hAnsi="Times New Roman" w:cs="Times New Roman"/>
                <w:color w:val="auto"/>
                <w:sz w:val="21"/>
                <w:szCs w:val="18"/>
                <w:highlight w:val="none"/>
              </w:rPr>
              <w:t>2mm厚HDPE防渗层</w:t>
            </w:r>
            <w:r>
              <w:rPr>
                <w:rFonts w:hint="default" w:ascii="Times New Roman" w:hAnsi="Times New Roman" w:cs="Times New Roman"/>
                <w:color w:val="auto"/>
                <w:sz w:val="21"/>
                <w:szCs w:val="18"/>
                <w:highlight w:val="none"/>
                <w:lang w:val="en-US" w:eastAsia="zh-CN"/>
              </w:rPr>
              <w:t>或</w:t>
            </w:r>
            <w:r>
              <w:rPr>
                <w:rFonts w:hint="default" w:ascii="Times New Roman" w:hAnsi="Times New Roman" w:cs="Times New Roman"/>
                <w:color w:val="auto"/>
                <w:sz w:val="21"/>
                <w:szCs w:val="18"/>
                <w:highlight w:val="none"/>
                <w:lang w:eastAsia="zh-CN"/>
              </w:rPr>
              <w:t>其他同等级防渗材料进行防渗、防腐处理</w:t>
            </w:r>
            <w:r>
              <w:rPr>
                <w:rFonts w:hint="default" w:ascii="Times New Roman" w:hAnsi="Times New Roman" w:cs="Times New Roman"/>
                <w:color w:val="auto"/>
                <w:sz w:val="21"/>
                <w:szCs w:val="18"/>
                <w:highlight w:val="none"/>
              </w:rPr>
              <w:t>，防渗技术要求为等效黏土防渗</w:t>
            </w:r>
            <w:r>
              <w:rPr>
                <w:rFonts w:hint="default" w:ascii="Times New Roman" w:hAnsi="Times New Roman" w:cs="Times New Roman"/>
                <w:color w:val="auto"/>
                <w:sz w:val="21"/>
                <w:szCs w:val="21"/>
                <w:highlight w:val="none"/>
              </w:rPr>
              <w:t>层Mb≥6.0m，K≤10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除发热门诊和住院部重点防渗区域外、</w:t>
            </w:r>
            <w:r>
              <w:rPr>
                <w:rFonts w:hint="eastAsia" w:ascii="Times New Roman" w:hAnsi="Times New Roman" w:cs="Times New Roman"/>
                <w:color w:val="auto"/>
                <w:sz w:val="21"/>
                <w:szCs w:val="21"/>
                <w:highlight w:val="none"/>
                <w:lang w:val="en-US" w:eastAsia="zh-CN"/>
              </w:rPr>
              <w:t>业务楼等进行一般防渗</w:t>
            </w:r>
            <w:r>
              <w:rPr>
                <w:rFonts w:hint="default" w:ascii="Times New Roman" w:hAnsi="Times New Roman" w:cs="Times New Roman"/>
                <w:color w:val="auto"/>
                <w:sz w:val="21"/>
                <w:szCs w:val="21"/>
                <w:highlight w:val="none"/>
              </w:rPr>
              <w:t>区域，采用防渗混凝土+泥砂浆地坪，确保防渗技术要求为等效黏土防渗层Mb≥1.5m，K≤10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eastAsia" w:cs="Times New Roman"/>
                <w:color w:val="auto"/>
                <w:sz w:val="21"/>
                <w:szCs w:val="21"/>
                <w:highlight w:val="none"/>
                <w:lang w:eastAsia="zh-CN"/>
              </w:rPr>
              <w:t>；</w:t>
            </w:r>
            <w:r>
              <w:rPr>
                <w:rFonts w:hint="eastAsia" w:cs="Times New Roman"/>
                <w:color w:val="auto"/>
                <w:sz w:val="21"/>
                <w:szCs w:val="18"/>
                <w:highlight w:val="none"/>
                <w:lang w:val="en-US" w:eastAsia="zh-CN"/>
              </w:rPr>
              <w:t>院</w:t>
            </w:r>
            <w:r>
              <w:rPr>
                <w:rFonts w:hint="eastAsia" w:cs="Times New Roman"/>
                <w:color w:val="auto"/>
                <w:sz w:val="21"/>
                <w:szCs w:val="18"/>
                <w:highlight w:val="none"/>
                <w:lang w:eastAsia="zh-CN"/>
              </w:rPr>
              <w:t>区道路采取一般水泥地硬化。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noWrap w:val="0"/>
            <w:vAlign w:val="center"/>
          </w:tcPr>
          <w:p>
            <w:pPr>
              <w:adjustRightInd w:val="0"/>
              <w:snapToGrid w:val="0"/>
              <w:spacing w:line="240" w:lineRule="auto"/>
              <w:jc w:val="center"/>
              <w:rPr>
                <w:color w:val="auto"/>
                <w:szCs w:val="21"/>
                <w:highlight w:val="none"/>
              </w:rPr>
            </w:pPr>
            <w:r>
              <w:rPr>
                <w:color w:val="auto"/>
                <w:szCs w:val="21"/>
                <w:highlight w:val="none"/>
              </w:rPr>
              <w:t>生态保护措施</w:t>
            </w:r>
          </w:p>
        </w:tc>
        <w:tc>
          <w:tcPr>
            <w:tcW w:w="4450" w:type="pct"/>
            <w:gridSpan w:val="4"/>
            <w:noWrap w:val="0"/>
            <w:vAlign w:val="center"/>
          </w:tcPr>
          <w:p>
            <w:pPr>
              <w:adjustRightInd w:val="0"/>
              <w:snapToGrid w:val="0"/>
              <w:spacing w:line="240" w:lineRule="auto"/>
              <w:jc w:val="center"/>
              <w:rPr>
                <w:color w:val="auto"/>
                <w:szCs w:val="21"/>
                <w:highlight w:val="none"/>
              </w:rPr>
            </w:pP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noWrap w:val="0"/>
            <w:vAlign w:val="center"/>
          </w:tcPr>
          <w:p>
            <w:pPr>
              <w:adjustRightInd w:val="0"/>
              <w:snapToGrid w:val="0"/>
              <w:spacing w:line="240" w:lineRule="auto"/>
              <w:jc w:val="center"/>
              <w:rPr>
                <w:color w:val="auto"/>
                <w:spacing w:val="-8"/>
                <w:szCs w:val="21"/>
                <w:highlight w:val="none"/>
              </w:rPr>
            </w:pPr>
            <w:r>
              <w:rPr>
                <w:color w:val="auto"/>
                <w:spacing w:val="-8"/>
                <w:szCs w:val="21"/>
                <w:highlight w:val="none"/>
              </w:rPr>
              <w:t>环境风险</w:t>
            </w:r>
          </w:p>
          <w:p>
            <w:pPr>
              <w:adjustRightInd w:val="0"/>
              <w:snapToGrid w:val="0"/>
              <w:spacing w:line="240" w:lineRule="auto"/>
              <w:jc w:val="center"/>
              <w:rPr>
                <w:color w:val="auto"/>
                <w:spacing w:val="-8"/>
                <w:szCs w:val="21"/>
                <w:highlight w:val="none"/>
              </w:rPr>
            </w:pPr>
            <w:r>
              <w:rPr>
                <w:color w:val="auto"/>
                <w:spacing w:val="-8"/>
                <w:szCs w:val="21"/>
                <w:highlight w:val="none"/>
              </w:rPr>
              <w:t>防范措施</w:t>
            </w:r>
          </w:p>
        </w:tc>
        <w:tc>
          <w:tcPr>
            <w:tcW w:w="4450" w:type="pct"/>
            <w:gridSpan w:val="4"/>
            <w:noWrap w:val="0"/>
            <w:vAlign w:val="center"/>
          </w:tcPr>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1、严格管理危险化学品，设置警示标牌，规范管理，落实防火、防爆设计要求，配备足够的消防器材。</w:t>
            </w:r>
          </w:p>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2、加强</w:t>
            </w:r>
            <w:r>
              <w:rPr>
                <w:rFonts w:hint="eastAsia" w:cs="Times New Roman"/>
                <w:color w:val="auto"/>
                <w:szCs w:val="21"/>
                <w:highlight w:val="none"/>
                <w:lang w:val="en-US" w:eastAsia="zh-CN"/>
              </w:rPr>
              <w:t>一体化污水处理设施操作间</w:t>
            </w:r>
            <w:r>
              <w:rPr>
                <w:rFonts w:hint="default" w:ascii="Times New Roman" w:hAnsi="Times New Roman" w:cs="Times New Roman"/>
                <w:color w:val="auto"/>
                <w:szCs w:val="21"/>
                <w:highlight w:val="none"/>
              </w:rPr>
              <w:t>药品管理，</w:t>
            </w:r>
            <w:r>
              <w:rPr>
                <w:rFonts w:hint="eastAsia" w:cs="Times New Roman"/>
                <w:color w:val="auto"/>
                <w:szCs w:val="21"/>
                <w:highlight w:val="none"/>
                <w:lang w:val="en-US" w:eastAsia="zh-CN"/>
              </w:rPr>
              <w:t>一体化污水处理设施</w:t>
            </w:r>
            <w:r>
              <w:rPr>
                <w:rFonts w:hint="default" w:ascii="Times New Roman" w:hAnsi="Times New Roman" w:cs="Times New Roman"/>
                <w:color w:val="auto"/>
                <w:szCs w:val="21"/>
                <w:highlight w:val="none"/>
              </w:rPr>
              <w:t>定期检修，设置事故应急池，防止事故废水排放。</w:t>
            </w:r>
          </w:p>
          <w:p>
            <w:pPr>
              <w:keepNext w:val="0"/>
              <w:keepLines w:val="0"/>
              <w:pageBreakBefore w:val="0"/>
              <w:wordWrap/>
              <w:topLinePunct w:val="0"/>
              <w:bidi w:val="0"/>
              <w:spacing w:line="240" w:lineRule="auto"/>
              <w:ind w:left="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3、严格执行环评及相关法律法规要求，定期开展设备维护，保证其有效运行和去除效率；制定环境风险应急预案。</w:t>
            </w:r>
          </w:p>
          <w:p>
            <w:pPr>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4、预防可能产生的生物安全污染事故，发生后及时采取应急措施，对现场进行消毒和人员隔离观察等。</w:t>
            </w:r>
          </w:p>
          <w:p>
            <w:pPr>
              <w:spacing w:line="240" w:lineRule="auto"/>
              <w:rPr>
                <w:rFonts w:hint="eastAsia" w:eastAsia="宋体"/>
                <w:color w:val="auto"/>
                <w:szCs w:val="21"/>
                <w:highlight w:val="none"/>
                <w:lang w:eastAsia="zh-CN"/>
              </w:rPr>
            </w:pPr>
            <w:r>
              <w:rPr>
                <w:rFonts w:hint="eastAsia"/>
                <w:color w:val="auto"/>
                <w:highlight w:val="none"/>
                <w:lang w:val="en-US" w:eastAsia="zh-CN"/>
              </w:rPr>
              <w:t>5、</w:t>
            </w:r>
            <w:r>
              <w:rPr>
                <w:color w:val="auto"/>
                <w:highlight w:val="none"/>
              </w:rPr>
              <w:t>制定环境风险应急预案。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noWrap w:val="0"/>
            <w:vAlign w:val="center"/>
          </w:tcPr>
          <w:p>
            <w:pPr>
              <w:adjustRightInd w:val="0"/>
              <w:snapToGrid w:val="0"/>
              <w:spacing w:line="240" w:lineRule="auto"/>
              <w:jc w:val="center"/>
              <w:rPr>
                <w:color w:val="auto"/>
                <w:spacing w:val="-8"/>
                <w:szCs w:val="21"/>
                <w:highlight w:val="none"/>
              </w:rPr>
            </w:pPr>
            <w:r>
              <w:rPr>
                <w:color w:val="auto"/>
                <w:spacing w:val="-8"/>
                <w:szCs w:val="21"/>
                <w:highlight w:val="none"/>
              </w:rPr>
              <w:t>其他环境</w:t>
            </w:r>
          </w:p>
          <w:p>
            <w:pPr>
              <w:adjustRightInd w:val="0"/>
              <w:snapToGrid w:val="0"/>
              <w:spacing w:line="240" w:lineRule="auto"/>
              <w:jc w:val="center"/>
              <w:rPr>
                <w:color w:val="auto"/>
                <w:spacing w:val="-8"/>
                <w:szCs w:val="21"/>
                <w:highlight w:val="none"/>
              </w:rPr>
            </w:pPr>
            <w:r>
              <w:rPr>
                <w:color w:val="auto"/>
                <w:spacing w:val="-8"/>
                <w:szCs w:val="21"/>
                <w:highlight w:val="none"/>
              </w:rPr>
              <w:t>管理要求</w:t>
            </w:r>
          </w:p>
        </w:tc>
        <w:tc>
          <w:tcPr>
            <w:tcW w:w="4450" w:type="pct"/>
            <w:gridSpan w:val="4"/>
            <w:noWrap w:val="0"/>
            <w:vAlign w:val="center"/>
          </w:tcPr>
          <w:p>
            <w:pPr>
              <w:spacing w:line="240" w:lineRule="auto"/>
              <w:rPr>
                <w:color w:val="auto"/>
                <w:szCs w:val="21"/>
                <w:highlight w:val="none"/>
              </w:rPr>
            </w:pPr>
            <w:r>
              <w:rPr>
                <w:color w:val="auto"/>
                <w:szCs w:val="21"/>
                <w:highlight w:val="none"/>
              </w:rPr>
              <w:t>1、医院的环境管理工作内容主要包括以下：</w:t>
            </w:r>
          </w:p>
          <w:p>
            <w:pPr>
              <w:spacing w:line="240" w:lineRule="auto"/>
              <w:ind w:firstLine="420" w:firstLineChars="200"/>
              <w:rPr>
                <w:color w:val="auto"/>
                <w:szCs w:val="21"/>
                <w:highlight w:val="none"/>
              </w:rPr>
            </w:pPr>
            <w:r>
              <w:rPr>
                <w:color w:val="auto"/>
                <w:szCs w:val="21"/>
                <w:highlight w:val="none"/>
              </w:rPr>
              <w:t>（1）根据《中华人民共和国环境保护法</w:t>
            </w:r>
            <w:r>
              <w:rPr>
                <w:rFonts w:hint="eastAsia"/>
                <w:color w:val="auto"/>
                <w:szCs w:val="21"/>
                <w:highlight w:val="none"/>
                <w:lang w:eastAsia="zh-CN"/>
              </w:rPr>
              <w:t>》《</w:t>
            </w:r>
            <w:r>
              <w:rPr>
                <w:rFonts w:hint="eastAsia"/>
                <w:color w:val="auto"/>
                <w:szCs w:val="21"/>
                <w:highlight w:val="none"/>
              </w:rPr>
              <w:t>中华人民共和国固体废物污染环境防治法</w:t>
            </w:r>
            <w:r>
              <w:rPr>
                <w:rFonts w:hint="eastAsia"/>
                <w:color w:val="auto"/>
                <w:szCs w:val="21"/>
                <w:highlight w:val="none"/>
                <w:lang w:eastAsia="zh-CN"/>
              </w:rPr>
              <w:t>》《</w:t>
            </w:r>
            <w:r>
              <w:rPr>
                <w:color w:val="auto"/>
                <w:szCs w:val="21"/>
                <w:highlight w:val="none"/>
              </w:rPr>
              <w:t>地表水环境质量标准》</w:t>
            </w:r>
            <w:r>
              <w:rPr>
                <w:rFonts w:hint="eastAsia"/>
                <w:color w:val="auto"/>
                <w:szCs w:val="21"/>
                <w:highlight w:val="none"/>
                <w:lang w:eastAsia="zh-CN"/>
              </w:rPr>
              <w:t>（</w:t>
            </w:r>
            <w:r>
              <w:rPr>
                <w:color w:val="auto"/>
                <w:szCs w:val="21"/>
                <w:highlight w:val="none"/>
              </w:rPr>
              <w:t>GB3838-2002</w:t>
            </w:r>
            <w:r>
              <w:rPr>
                <w:rFonts w:hint="eastAsia"/>
                <w:color w:val="auto"/>
                <w:szCs w:val="21"/>
                <w:highlight w:val="none"/>
                <w:lang w:eastAsia="zh-CN"/>
              </w:rPr>
              <w:t>）</w:t>
            </w:r>
            <w:r>
              <w:rPr>
                <w:color w:val="auto"/>
                <w:szCs w:val="21"/>
                <w:highlight w:val="none"/>
              </w:rPr>
              <w:t>、《医疗机构水污染物排放标准》（GB18466-2005）、《医院污水处理技术指南》（环发</w:t>
            </w:r>
            <w:r>
              <w:rPr>
                <w:rFonts w:hint="eastAsia"/>
                <w:color w:val="auto"/>
                <w:szCs w:val="21"/>
                <w:highlight w:val="none"/>
                <w:lang w:eastAsia="zh-CN"/>
              </w:rPr>
              <w:t>〔</w:t>
            </w:r>
            <w:r>
              <w:rPr>
                <w:color w:val="auto"/>
                <w:szCs w:val="21"/>
                <w:highlight w:val="none"/>
              </w:rPr>
              <w:t>2003</w:t>
            </w:r>
            <w:r>
              <w:rPr>
                <w:rFonts w:hint="eastAsia"/>
                <w:color w:val="auto"/>
                <w:szCs w:val="21"/>
                <w:highlight w:val="none"/>
                <w:lang w:eastAsia="zh-CN"/>
              </w:rPr>
              <w:t>〕</w:t>
            </w:r>
            <w:r>
              <w:rPr>
                <w:color w:val="auto"/>
                <w:szCs w:val="21"/>
                <w:highlight w:val="none"/>
              </w:rPr>
              <w:t>197号）、《医疗废物管理条例》（国务院2003-380号令）、《四川省危险废物污染环境防治办法</w:t>
            </w:r>
            <w:r>
              <w:rPr>
                <w:rFonts w:hint="eastAsia"/>
                <w:color w:val="auto"/>
                <w:szCs w:val="21"/>
                <w:highlight w:val="none"/>
                <w:lang w:eastAsia="zh-CN"/>
              </w:rPr>
              <w:t>》《</w:t>
            </w:r>
            <w:r>
              <w:rPr>
                <w:color w:val="auto"/>
                <w:szCs w:val="21"/>
                <w:highlight w:val="none"/>
              </w:rPr>
              <w:t>环境空气质量标准》</w:t>
            </w:r>
            <w:r>
              <w:rPr>
                <w:rFonts w:hint="eastAsia"/>
                <w:color w:val="auto"/>
                <w:szCs w:val="21"/>
                <w:highlight w:val="none"/>
                <w:lang w:eastAsia="zh-CN"/>
              </w:rPr>
              <w:t>（</w:t>
            </w:r>
            <w:r>
              <w:rPr>
                <w:color w:val="auto"/>
                <w:szCs w:val="21"/>
                <w:highlight w:val="none"/>
              </w:rPr>
              <w:t>GB3095-2012</w:t>
            </w:r>
            <w:r>
              <w:rPr>
                <w:rFonts w:hint="eastAsia"/>
                <w:color w:val="auto"/>
                <w:szCs w:val="21"/>
                <w:highlight w:val="none"/>
                <w:lang w:eastAsia="zh-CN"/>
              </w:rPr>
              <w:t>）</w:t>
            </w:r>
            <w:r>
              <w:rPr>
                <w:color w:val="auto"/>
                <w:szCs w:val="21"/>
                <w:highlight w:val="none"/>
              </w:rPr>
              <w:t>、《医院候诊室卫生标准》（GB9671-1996）、《工业企业厂界环境噪声排放标准》（GB12348-2008）等，对本工程的环境保护工作进行全面的监督及管理，健全医院污染源档案。</w:t>
            </w:r>
          </w:p>
          <w:p>
            <w:pPr>
              <w:spacing w:line="240" w:lineRule="auto"/>
              <w:ind w:firstLine="420" w:firstLineChars="200"/>
              <w:rPr>
                <w:color w:val="auto"/>
                <w:szCs w:val="21"/>
                <w:highlight w:val="none"/>
              </w:rPr>
            </w:pPr>
            <w:r>
              <w:rPr>
                <w:color w:val="auto"/>
                <w:szCs w:val="21"/>
                <w:highlight w:val="none"/>
              </w:rPr>
              <w:t>（2）对污染物的各种处理设备的正常工作状态进行监督管理，对项目区域的自然和生态环境进行保护。</w:t>
            </w:r>
          </w:p>
          <w:p>
            <w:pPr>
              <w:spacing w:line="240" w:lineRule="auto"/>
              <w:ind w:firstLine="420" w:firstLineChars="200"/>
              <w:rPr>
                <w:color w:val="auto"/>
                <w:szCs w:val="21"/>
                <w:highlight w:val="none"/>
              </w:rPr>
            </w:pPr>
            <w:r>
              <w:rPr>
                <w:color w:val="auto"/>
                <w:szCs w:val="21"/>
                <w:highlight w:val="none"/>
              </w:rPr>
              <w:t>（3）对医院产生的污染物及处置情况进行记录、管理。</w:t>
            </w:r>
          </w:p>
          <w:p>
            <w:pPr>
              <w:spacing w:line="240" w:lineRule="auto"/>
              <w:rPr>
                <w:color w:val="auto"/>
                <w:szCs w:val="21"/>
                <w:highlight w:val="none"/>
              </w:rPr>
            </w:pPr>
            <w:r>
              <w:rPr>
                <w:color w:val="auto"/>
                <w:szCs w:val="21"/>
                <w:highlight w:val="none"/>
              </w:rPr>
              <w:t>2、环境监测计划</w:t>
            </w:r>
          </w:p>
          <w:p>
            <w:pPr>
              <w:spacing w:line="240" w:lineRule="auto"/>
              <w:ind w:firstLine="420" w:firstLineChars="200"/>
              <w:rPr>
                <w:color w:val="auto"/>
                <w:szCs w:val="21"/>
                <w:highlight w:val="none"/>
              </w:rPr>
            </w:pPr>
            <w:r>
              <w:rPr>
                <w:color w:val="auto"/>
                <w:szCs w:val="21"/>
                <w:highlight w:val="none"/>
              </w:rPr>
              <w:t>（1）制定自行监测方案，定期开展污染源监测；</w:t>
            </w:r>
          </w:p>
          <w:p>
            <w:pPr>
              <w:spacing w:line="240" w:lineRule="auto"/>
              <w:ind w:firstLine="420" w:firstLineChars="200"/>
              <w:rPr>
                <w:color w:val="auto"/>
                <w:szCs w:val="21"/>
                <w:highlight w:val="none"/>
              </w:rPr>
            </w:pPr>
            <w:r>
              <w:rPr>
                <w:color w:val="auto"/>
                <w:szCs w:val="21"/>
                <w:highlight w:val="none"/>
              </w:rPr>
              <w:t>（2）对环保治理设施的运行情况进行监测，以便及时对设施的设计和处理效果进行比较；发现问题及时报告有关部门；</w:t>
            </w:r>
          </w:p>
          <w:p>
            <w:pPr>
              <w:spacing w:line="240" w:lineRule="auto"/>
              <w:ind w:firstLine="420" w:firstLineChars="200"/>
              <w:rPr>
                <w:rFonts w:hint="eastAsia"/>
                <w:color w:val="auto"/>
                <w:szCs w:val="21"/>
                <w:highlight w:val="none"/>
                <w:lang w:eastAsia="zh-CN"/>
              </w:rPr>
            </w:pPr>
            <w:r>
              <w:rPr>
                <w:color w:val="auto"/>
                <w:szCs w:val="21"/>
                <w:highlight w:val="none"/>
              </w:rPr>
              <w:t>（3）当发生污染事故时，进行应急监测，为采取处理措施提供第一手资料</w:t>
            </w:r>
            <w:r>
              <w:rPr>
                <w:rFonts w:hint="eastAsia"/>
                <w:color w:val="auto"/>
                <w:szCs w:val="21"/>
                <w:highlight w:val="none"/>
                <w:lang w:eastAsia="zh-CN"/>
              </w:rPr>
              <w:t>。</w:t>
            </w:r>
          </w:p>
          <w:p>
            <w:pPr>
              <w:spacing w:line="276" w:lineRule="auto"/>
              <w:rPr>
                <w:rFonts w:hint="default"/>
                <w:color w:val="auto"/>
                <w:highlight w:val="none"/>
                <w:lang w:val="en-US" w:eastAsia="zh-CN"/>
              </w:rPr>
            </w:pPr>
            <w:r>
              <w:rPr>
                <w:rFonts w:hint="eastAsia"/>
                <w:color w:val="auto"/>
                <w:szCs w:val="21"/>
                <w:highlight w:val="none"/>
                <w:lang w:val="en-US" w:eastAsia="zh-CN"/>
              </w:rPr>
              <w:t>3、</w:t>
            </w:r>
            <w:r>
              <w:rPr>
                <w:rFonts w:hint="eastAsia"/>
                <w:color w:val="auto"/>
                <w:highlight w:val="none"/>
                <w:lang w:val="en-US" w:eastAsia="zh-CN"/>
              </w:rPr>
              <w:t>排污口规范化管理</w:t>
            </w:r>
          </w:p>
          <w:p>
            <w:pPr>
              <w:spacing w:line="276" w:lineRule="auto"/>
              <w:ind w:firstLine="420" w:firstLineChars="200"/>
              <w:rPr>
                <w:rFonts w:hint="eastAsia"/>
                <w:color w:val="auto"/>
                <w:highlight w:val="none"/>
                <w:lang w:eastAsia="zh-CN"/>
              </w:rPr>
            </w:pPr>
            <w:r>
              <w:rPr>
                <w:rFonts w:hint="eastAsia"/>
                <w:color w:val="auto"/>
                <w:highlight w:val="none"/>
                <w:lang w:eastAsia="zh-CN"/>
              </w:rPr>
              <w:t>监测点位标志牌设置要求：</w:t>
            </w:r>
          </w:p>
          <w:p>
            <w:pPr>
              <w:spacing w:line="276" w:lineRule="auto"/>
              <w:ind w:firstLine="420" w:firstLineChars="200"/>
              <w:rPr>
                <w:rFonts w:hint="eastAsia"/>
                <w:color w:val="auto"/>
                <w:highlight w:val="none"/>
                <w:lang w:eastAsia="zh-CN"/>
              </w:rPr>
            </w:pPr>
            <w:r>
              <w:rPr>
                <w:rFonts w:hint="eastAsia"/>
                <w:color w:val="auto"/>
                <w:highlight w:val="none"/>
                <w:lang w:eastAsia="zh-CN"/>
              </w:rPr>
              <w:t>①标志牌应设置在距污染物监测点位较近且醒目处，并能长久保留。</w:t>
            </w:r>
          </w:p>
          <w:p>
            <w:pPr>
              <w:spacing w:line="276" w:lineRule="auto"/>
              <w:ind w:firstLine="420" w:firstLineChars="200"/>
              <w:rPr>
                <w:rFonts w:hint="eastAsia"/>
                <w:color w:val="auto"/>
                <w:highlight w:val="none"/>
                <w:lang w:eastAsia="zh-CN"/>
              </w:rPr>
            </w:pPr>
            <w:r>
              <w:rPr>
                <w:rFonts w:hint="eastAsia"/>
                <w:color w:val="auto"/>
                <w:highlight w:val="none"/>
                <w:lang w:eastAsia="zh-CN"/>
              </w:rPr>
              <w:t>②环保图形标志必须符合原国家环境保护局和国家技术监督局发布的《环境保护图形标志-排放口（源）》（GB15562.1-1995）和《环境保护图形标志-固体废物贮存（处置）场》（GB 15562.2-1995）等规定。</w:t>
            </w:r>
          </w:p>
          <w:p>
            <w:pPr>
              <w:spacing w:line="276" w:lineRule="auto"/>
              <w:ind w:firstLine="420" w:firstLineChars="200"/>
              <w:rPr>
                <w:rFonts w:hint="eastAsia"/>
                <w:color w:val="auto"/>
                <w:highlight w:val="none"/>
                <w:lang w:eastAsia="zh-CN"/>
              </w:rPr>
            </w:pPr>
            <w:r>
              <w:rPr>
                <w:rFonts w:hint="eastAsia"/>
                <w:color w:val="auto"/>
                <w:highlight w:val="none"/>
                <w:lang w:eastAsia="zh-CN"/>
              </w:rPr>
              <w:t>③提示标志牌：底和立柱为绿色，图案、边框、支架和文字为白色。</w:t>
            </w:r>
          </w:p>
          <w:p>
            <w:pPr>
              <w:spacing w:line="276" w:lineRule="auto"/>
              <w:ind w:firstLine="420" w:firstLineChars="200"/>
              <w:rPr>
                <w:rFonts w:hint="eastAsia"/>
                <w:color w:val="auto"/>
                <w:highlight w:val="none"/>
                <w:lang w:eastAsia="zh-CN"/>
              </w:rPr>
            </w:pPr>
            <w:r>
              <w:rPr>
                <w:rFonts w:hint="eastAsia"/>
                <w:color w:val="auto"/>
                <w:highlight w:val="none"/>
                <w:lang w:eastAsia="zh-CN"/>
              </w:rPr>
              <w:t>④标志牌内容：排放口标志名称、单位名称、编号、污染物种类、国家环境保护总局监制。</w:t>
            </w:r>
          </w:p>
          <w:p>
            <w:pPr>
              <w:spacing w:line="276" w:lineRule="auto"/>
              <w:ind w:firstLine="420" w:firstLineChars="200"/>
              <w:rPr>
                <w:rFonts w:hint="eastAsia"/>
                <w:color w:val="auto"/>
                <w:highlight w:val="none"/>
                <w:lang w:eastAsia="zh-CN"/>
              </w:rPr>
            </w:pPr>
            <w:r>
              <w:rPr>
                <w:rFonts w:hint="eastAsia"/>
                <w:color w:val="auto"/>
                <w:highlight w:val="none"/>
                <w:lang w:eastAsia="zh-CN"/>
              </w:rPr>
              <w:t xml:space="preserve">⑤标志字型：黑体字。 </w:t>
            </w:r>
          </w:p>
          <w:p>
            <w:pPr>
              <w:spacing w:line="276" w:lineRule="auto"/>
              <w:ind w:firstLine="420" w:firstLineChars="200"/>
              <w:rPr>
                <w:rFonts w:hint="eastAsia"/>
                <w:color w:val="auto"/>
                <w:highlight w:val="none"/>
                <w:lang w:eastAsia="zh-CN"/>
              </w:rPr>
            </w:pPr>
            <w:r>
              <w:rPr>
                <w:rFonts w:hint="eastAsia"/>
                <w:color w:val="auto"/>
                <w:highlight w:val="none"/>
                <w:lang w:eastAsia="zh-CN"/>
              </w:rPr>
              <w:t>⑥标志牌尺寸：平面固定式标志牌外形尺寸480×300mm；立式固定式标志牌外形尺寸 420×420mm。</w:t>
            </w:r>
          </w:p>
          <w:p>
            <w:pPr>
              <w:spacing w:line="276" w:lineRule="auto"/>
              <w:ind w:firstLine="420" w:firstLineChars="200"/>
              <w:rPr>
                <w:rFonts w:hint="eastAsia"/>
                <w:color w:val="auto"/>
                <w:highlight w:val="none"/>
                <w:lang w:eastAsia="zh-CN"/>
              </w:rPr>
            </w:pPr>
            <w:r>
              <w:rPr>
                <w:rFonts w:hint="eastAsia"/>
                <w:color w:val="auto"/>
                <w:highlight w:val="none"/>
                <w:lang w:eastAsia="zh-CN"/>
              </w:rPr>
              <w:t>⑦标志牌材料：标志牌采用 1.5~2mm 冷轧钢板，表面采用搪瓷或者反光贴膜。</w:t>
            </w:r>
          </w:p>
          <w:p>
            <w:pPr>
              <w:pageBreakBefore w:val="0"/>
              <w:topLinePunct w:val="0"/>
              <w:bidi w:val="0"/>
              <w:spacing w:beforeAutospacing="0" w:afterAutospacing="0" w:line="360" w:lineRule="auto"/>
              <w:ind w:lef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排放口图形标志牌见下表。</w:t>
            </w:r>
          </w:p>
          <w:p>
            <w:pPr>
              <w:pageBreakBefore w:val="0"/>
              <w:topLinePunct w:val="0"/>
              <w:bidi w:val="0"/>
              <w:spacing w:beforeAutospacing="0" w:afterAutospacing="0" w:line="360" w:lineRule="auto"/>
              <w:ind w:lef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eastAsia" w:ascii="Times New Roman" w:hAnsi="Times New Roman" w:eastAsia="黑体" w:cs="Times New Roman"/>
                <w:color w:val="auto"/>
                <w:szCs w:val="21"/>
                <w:highlight w:val="none"/>
                <w:lang w:val="en-US" w:eastAsia="zh-CN"/>
              </w:rPr>
              <w:t>5-1</w:t>
            </w:r>
            <w:r>
              <w:rPr>
                <w:rFonts w:hint="default" w:ascii="Times New Roman" w:hAnsi="Times New Roman" w:eastAsia="黑体" w:cs="Times New Roman"/>
                <w:color w:val="auto"/>
                <w:szCs w:val="21"/>
                <w:highlight w:val="none"/>
              </w:rPr>
              <w:t xml:space="preserve"> 排放口图形标志牌</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9"/>
              <w:gridCol w:w="1993"/>
              <w:gridCol w:w="1997"/>
              <w:gridCol w:w="1563"/>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1153"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提示图形符号</w:t>
                  </w:r>
                </w:p>
              </w:tc>
              <w:tc>
                <w:tcPr>
                  <w:tcW w:w="1155"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警告图形符号</w:t>
                  </w:r>
                </w:p>
              </w:tc>
              <w:tc>
                <w:tcPr>
                  <w:tcW w:w="90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147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vAlign w:val="center"/>
                </w:tcPr>
                <w:p>
                  <w:pPr>
                    <w:pageBreakBefore w:val="0"/>
                    <w:topLinePunct w:val="0"/>
                    <w:bidi w:val="0"/>
                    <w:spacing w:beforeAutospacing="0" w:afterAutospacing="0" w:line="240" w:lineRule="auto"/>
                    <w:ind w:left="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w:t>
                  </w:r>
                </w:p>
              </w:tc>
              <w:tc>
                <w:tcPr>
                  <w:tcW w:w="1153"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drawing>
                      <wp:inline distT="0" distB="0" distL="114300" distR="114300">
                        <wp:extent cx="1097280" cy="990600"/>
                        <wp:effectExtent l="0" t="0" r="7620" b="0"/>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31"/>
                                <a:stretch>
                                  <a:fillRect/>
                                </a:stretch>
                              </pic:blipFill>
                              <pic:spPr>
                                <a:xfrm>
                                  <a:off x="0" y="0"/>
                                  <a:ext cx="1097280" cy="990600"/>
                                </a:xfrm>
                                <a:prstGeom prst="rect">
                                  <a:avLst/>
                                </a:prstGeom>
                                <a:noFill/>
                                <a:ln>
                                  <a:noFill/>
                                </a:ln>
                              </pic:spPr>
                            </pic:pic>
                          </a:graphicData>
                        </a:graphic>
                      </wp:inline>
                    </w:drawing>
                  </w:r>
                </w:p>
              </w:tc>
              <w:tc>
                <w:tcPr>
                  <w:tcW w:w="1155"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017270" cy="1010920"/>
                        <wp:effectExtent l="0" t="0" r="11430" b="1778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32"/>
                                <a:stretch>
                                  <a:fillRect/>
                                </a:stretch>
                              </pic:blipFill>
                              <pic:spPr>
                                <a:xfrm>
                                  <a:off x="0" y="0"/>
                                  <a:ext cx="1017270" cy="1010920"/>
                                </a:xfrm>
                                <a:prstGeom prst="rect">
                                  <a:avLst/>
                                </a:prstGeom>
                                <a:noFill/>
                                <a:ln>
                                  <a:noFill/>
                                </a:ln>
                              </pic:spPr>
                            </pic:pic>
                          </a:graphicData>
                        </a:graphic>
                      </wp:inline>
                    </w:drawing>
                  </w:r>
                </w:p>
              </w:tc>
              <w:tc>
                <w:tcPr>
                  <w:tcW w:w="90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污水排放口</w:t>
                  </w:r>
                </w:p>
              </w:tc>
              <w:tc>
                <w:tcPr>
                  <w:tcW w:w="147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表示污水向水体排放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vAlign w:val="center"/>
                </w:tcPr>
                <w:p>
                  <w:pPr>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2</w:t>
                  </w:r>
                </w:p>
              </w:tc>
              <w:tc>
                <w:tcPr>
                  <w:tcW w:w="1153"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drawing>
                      <wp:inline distT="0" distB="0" distL="114300" distR="114300">
                        <wp:extent cx="1028700" cy="990600"/>
                        <wp:effectExtent l="0" t="0" r="0" b="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pic:cNvPicPr>
                                  <a:picLocks noChangeAspect="1"/>
                                </pic:cNvPicPr>
                              </pic:nvPicPr>
                              <pic:blipFill>
                                <a:blip r:embed="rId33"/>
                                <a:stretch>
                                  <a:fillRect/>
                                </a:stretch>
                              </pic:blipFill>
                              <pic:spPr>
                                <a:xfrm>
                                  <a:off x="0" y="0"/>
                                  <a:ext cx="1028700" cy="990600"/>
                                </a:xfrm>
                                <a:prstGeom prst="rect">
                                  <a:avLst/>
                                </a:prstGeom>
                                <a:noFill/>
                                <a:ln>
                                  <a:noFill/>
                                </a:ln>
                              </pic:spPr>
                            </pic:pic>
                          </a:graphicData>
                        </a:graphic>
                      </wp:inline>
                    </w:drawing>
                  </w:r>
                </w:p>
              </w:tc>
              <w:tc>
                <w:tcPr>
                  <w:tcW w:w="1155"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143000" cy="1038225"/>
                        <wp:effectExtent l="0" t="0" r="0" b="9525"/>
                        <wp:docPr id="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34"/>
                                <a:srcRect l="-3448"/>
                                <a:stretch>
                                  <a:fillRect/>
                                </a:stretch>
                              </pic:blipFill>
                              <pic:spPr>
                                <a:xfrm>
                                  <a:off x="0" y="0"/>
                                  <a:ext cx="1143000" cy="1038225"/>
                                </a:xfrm>
                                <a:prstGeom prst="rect">
                                  <a:avLst/>
                                </a:prstGeom>
                                <a:noFill/>
                                <a:ln>
                                  <a:noFill/>
                                </a:ln>
                              </pic:spPr>
                            </pic:pic>
                          </a:graphicData>
                        </a:graphic>
                      </wp:inline>
                    </w:drawing>
                  </w:r>
                </w:p>
              </w:tc>
              <w:tc>
                <w:tcPr>
                  <w:tcW w:w="90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一般固体废物</w:t>
                  </w:r>
                </w:p>
              </w:tc>
              <w:tc>
                <w:tcPr>
                  <w:tcW w:w="147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vAlign w:val="center"/>
                </w:tcPr>
                <w:p>
                  <w:pPr>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3</w:t>
                  </w:r>
                </w:p>
              </w:tc>
              <w:tc>
                <w:tcPr>
                  <w:tcW w:w="1153"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p>
              </w:tc>
              <w:tc>
                <w:tcPr>
                  <w:tcW w:w="1155"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207135" cy="1028065"/>
                        <wp:effectExtent l="0" t="0" r="12065" b="63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5"/>
                                <a:stretch>
                                  <a:fillRect/>
                                </a:stretch>
                              </pic:blipFill>
                              <pic:spPr>
                                <a:xfrm>
                                  <a:off x="0" y="0"/>
                                  <a:ext cx="1207135" cy="1028065"/>
                                </a:xfrm>
                                <a:prstGeom prst="rect">
                                  <a:avLst/>
                                </a:prstGeom>
                                <a:noFill/>
                                <a:ln>
                                  <a:noFill/>
                                </a:ln>
                              </pic:spPr>
                            </pic:pic>
                          </a:graphicData>
                        </a:graphic>
                      </wp:inline>
                    </w:drawing>
                  </w:r>
                </w:p>
              </w:tc>
              <w:tc>
                <w:tcPr>
                  <w:tcW w:w="90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147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tcBorders>
                    <w:tl2br w:val="nil"/>
                    <w:tr2bl w:val="nil"/>
                  </w:tcBorders>
                  <w:vAlign w:val="center"/>
                </w:tcPr>
                <w:p>
                  <w:pPr>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4</w:t>
                  </w:r>
                </w:p>
              </w:tc>
              <w:tc>
                <w:tcPr>
                  <w:tcW w:w="1153"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drawing>
                      <wp:inline distT="0" distB="0" distL="114300" distR="114300">
                        <wp:extent cx="1021080" cy="990600"/>
                        <wp:effectExtent l="0" t="0" r="7620" b="0"/>
                        <wp:docPr id="8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7"/>
                                <pic:cNvPicPr>
                                  <a:picLocks noChangeAspect="1"/>
                                </pic:cNvPicPr>
                              </pic:nvPicPr>
                              <pic:blipFill>
                                <a:blip r:embed="rId36"/>
                                <a:stretch>
                                  <a:fillRect/>
                                </a:stretch>
                              </pic:blipFill>
                              <pic:spPr>
                                <a:xfrm>
                                  <a:off x="0" y="0"/>
                                  <a:ext cx="1021080" cy="990600"/>
                                </a:xfrm>
                                <a:prstGeom prst="rect">
                                  <a:avLst/>
                                </a:prstGeom>
                                <a:noFill/>
                                <a:ln>
                                  <a:noFill/>
                                </a:ln>
                              </pic:spPr>
                            </pic:pic>
                          </a:graphicData>
                        </a:graphic>
                      </wp:inline>
                    </w:drawing>
                  </w:r>
                </w:p>
              </w:tc>
              <w:tc>
                <w:tcPr>
                  <w:tcW w:w="1155"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133475" cy="1009650"/>
                        <wp:effectExtent l="0" t="0" r="9525" b="0"/>
                        <wp:docPr id="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
                                <pic:cNvPicPr>
                                  <a:picLocks noChangeAspect="1"/>
                                </pic:cNvPicPr>
                              </pic:nvPicPr>
                              <pic:blipFill>
                                <a:blip r:embed="rId37"/>
                                <a:stretch>
                                  <a:fillRect/>
                                </a:stretch>
                              </pic:blipFill>
                              <pic:spPr>
                                <a:xfrm>
                                  <a:off x="0" y="0"/>
                                  <a:ext cx="1133475" cy="1009650"/>
                                </a:xfrm>
                                <a:prstGeom prst="rect">
                                  <a:avLst/>
                                </a:prstGeom>
                                <a:noFill/>
                                <a:ln>
                                  <a:noFill/>
                                </a:ln>
                              </pic:spPr>
                            </pic:pic>
                          </a:graphicData>
                        </a:graphic>
                      </wp:inline>
                    </w:drawing>
                  </w:r>
                </w:p>
              </w:tc>
              <w:tc>
                <w:tcPr>
                  <w:tcW w:w="90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噪声排放源</w:t>
                  </w:r>
                </w:p>
              </w:tc>
              <w:tc>
                <w:tcPr>
                  <w:tcW w:w="1474" w:type="pct"/>
                  <w:tcBorders>
                    <w:tl2br w:val="nil"/>
                    <w:tr2bl w:val="nil"/>
                  </w:tcBorders>
                  <w:vAlign w:val="center"/>
                </w:tcPr>
                <w:p>
                  <w:pPr>
                    <w:pageBreakBefore w:val="0"/>
                    <w:topLinePunct w:val="0"/>
                    <w:bidi w:val="0"/>
                    <w:spacing w:beforeAutospacing="0" w:afterAutospacing="0" w:line="240" w:lineRule="auto"/>
                    <w:ind w:lef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表示噪声向外环境排放</w:t>
                  </w:r>
                </w:p>
              </w:tc>
            </w:tr>
          </w:tbl>
          <w:p>
            <w:pPr>
              <w:spacing w:line="240" w:lineRule="auto"/>
              <w:rPr>
                <w:rFonts w:hint="default"/>
                <w:color w:val="auto"/>
                <w:szCs w:val="21"/>
                <w:highlight w:val="none"/>
                <w:lang w:val="en-US" w:eastAsia="zh-CN"/>
              </w:rPr>
            </w:pPr>
          </w:p>
          <w:p>
            <w:pPr>
              <w:spacing w:line="240" w:lineRule="auto"/>
              <w:rPr>
                <w:rFonts w:hint="eastAsia"/>
                <w:color w:val="auto"/>
                <w:szCs w:val="21"/>
                <w:highlight w:val="none"/>
                <w:lang w:eastAsia="zh-CN"/>
              </w:rPr>
            </w:pPr>
          </w:p>
          <w:p>
            <w:pPr>
              <w:spacing w:line="240" w:lineRule="auto"/>
              <w:rPr>
                <w:rFonts w:hint="eastAsia"/>
                <w:color w:val="auto"/>
                <w:szCs w:val="21"/>
                <w:highlight w:val="none"/>
              </w:rPr>
            </w:pPr>
          </w:p>
        </w:tc>
      </w:tr>
    </w:tbl>
    <w:p>
      <w:pPr>
        <w:spacing w:line="360" w:lineRule="auto"/>
        <w:rPr>
          <w:rFonts w:hint="eastAsia"/>
          <w:color w:val="auto"/>
          <w:highlight w:val="none"/>
          <w:lang w:eastAsia="zh-CN"/>
        </w:rPr>
      </w:pPr>
    </w:p>
    <w:p>
      <w:pPr>
        <w:pStyle w:val="28"/>
        <w:spacing w:line="360" w:lineRule="auto"/>
        <w:jc w:val="center"/>
        <w:rPr>
          <w:rFonts w:eastAsia="黑体" w:cs="Times New Roman"/>
          <w:b w:val="0"/>
          <w:color w:val="auto"/>
          <w:sz w:val="30"/>
          <w:szCs w:val="30"/>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8"/>
        <w:spacing w:line="360" w:lineRule="auto"/>
        <w:jc w:val="center"/>
        <w:rPr>
          <w:rFonts w:eastAsia="黑体" w:cs="Times New Roman"/>
          <w:b w:val="0"/>
          <w:color w:val="auto"/>
          <w:sz w:val="30"/>
          <w:szCs w:val="30"/>
          <w:highlight w:val="none"/>
        </w:rPr>
      </w:pPr>
      <w:r>
        <w:rPr>
          <w:rFonts w:eastAsia="黑体" w:cs="Times New Roman"/>
          <w:b w:val="0"/>
          <w:color w:val="auto"/>
          <w:sz w:val="30"/>
          <w:szCs w:val="30"/>
          <w:highlight w:val="none"/>
        </w:rPr>
        <w:t>六、结论</w:t>
      </w:r>
    </w:p>
    <w:tbl>
      <w:tblPr>
        <w:tblStyle w:val="20"/>
        <w:tblW w:w="97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67" w:type="dxa"/>
            <w:shd w:val="clear" w:color="auto" w:fill="auto"/>
          </w:tcPr>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eastAsia="zh-CN"/>
              </w:rPr>
              <w:t>宣汉同盛医院建设项目</w:t>
            </w:r>
            <w:r>
              <w:rPr>
                <w:color w:val="auto"/>
                <w:sz w:val="24"/>
                <w:highlight w:val="none"/>
              </w:rPr>
              <w:t>”位于</w:t>
            </w:r>
            <w:r>
              <w:rPr>
                <w:rFonts w:hint="eastAsia"/>
                <w:color w:val="auto"/>
                <w:sz w:val="24"/>
                <w:highlight w:val="none"/>
                <w:lang w:val="en-US" w:eastAsia="zh-CN"/>
              </w:rPr>
              <w:t>四川省达州市宣汉县蒲江街道骏杰汽贸园二号楼</w:t>
            </w:r>
            <w:r>
              <w:rPr>
                <w:color w:val="auto"/>
                <w:sz w:val="24"/>
                <w:highlight w:val="none"/>
              </w:rPr>
              <w:t>，本项目建设符合国家产业政策，符合</w:t>
            </w:r>
            <w:r>
              <w:rPr>
                <w:rFonts w:hint="eastAsia"/>
                <w:color w:val="auto"/>
                <w:sz w:val="24"/>
                <w:highlight w:val="none"/>
                <w:lang w:val="en-US" w:eastAsia="zh-CN"/>
              </w:rPr>
              <w:t>达州市宣汉县</w:t>
            </w:r>
            <w:r>
              <w:rPr>
                <w:color w:val="auto"/>
                <w:sz w:val="24"/>
                <w:highlight w:val="none"/>
              </w:rPr>
              <w:t>的规划要求。本项目选址合理，总图布置合理。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pPr>
              <w:spacing w:line="360" w:lineRule="auto"/>
              <w:ind w:firstLine="480" w:firstLineChars="200"/>
              <w:rPr>
                <w:rFonts w:cs="Times New Roman"/>
                <w:color w:val="auto"/>
                <w:sz w:val="24"/>
                <w:szCs w:val="24"/>
                <w:highlight w:val="none"/>
              </w:rPr>
            </w:pPr>
          </w:p>
          <w:p>
            <w:pPr>
              <w:spacing w:line="360" w:lineRule="auto"/>
              <w:ind w:firstLine="480" w:firstLineChars="200"/>
              <w:rPr>
                <w:rFonts w:cs="Times New Roman"/>
                <w:color w:val="auto"/>
                <w:sz w:val="24"/>
                <w:szCs w:val="24"/>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p>
            <w:pPr>
              <w:spacing w:line="360" w:lineRule="auto"/>
              <w:ind w:firstLine="420" w:firstLineChars="200"/>
              <w:rPr>
                <w:rFonts w:cs="Times New Roman"/>
                <w:color w:val="auto"/>
                <w:szCs w:val="21"/>
                <w:highlight w:val="none"/>
              </w:rPr>
            </w:pPr>
          </w:p>
        </w:tc>
      </w:tr>
    </w:tbl>
    <w:p>
      <w:pPr>
        <w:pStyle w:val="1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color w:val="auto"/>
          <w:sz w:val="24"/>
          <w:szCs w:val="36"/>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8"/>
        <w:adjustRightInd w:val="0"/>
        <w:snapToGrid w:val="0"/>
        <w:spacing w:before="0" w:beforeAutospacing="0" w:after="0" w:afterAutospacing="0" w:line="360" w:lineRule="auto"/>
        <w:outlineLvl w:val="0"/>
        <w:rPr>
          <w:rFonts w:ascii="Times New Roman" w:hAnsi="Times New Roman" w:eastAsia="黑体"/>
          <w:snapToGrid w:val="0"/>
          <w:color w:val="auto"/>
          <w:sz w:val="32"/>
          <w:szCs w:val="32"/>
          <w:highlight w:val="none"/>
        </w:rPr>
      </w:pPr>
      <w:r>
        <w:rPr>
          <w:rFonts w:ascii="Times New Roman" w:hAnsi="Times New Roman" w:eastAsia="黑体"/>
          <w:snapToGrid w:val="0"/>
          <w:color w:val="auto"/>
          <w:sz w:val="32"/>
          <w:szCs w:val="32"/>
          <w:highlight w:val="none"/>
        </w:rPr>
        <w:t>附表</w:t>
      </w:r>
    </w:p>
    <w:p>
      <w:pPr>
        <w:pStyle w:val="18"/>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highlight w:val="none"/>
        </w:rPr>
      </w:pPr>
      <w:r>
        <w:rPr>
          <w:rFonts w:ascii="Times New Roman" w:hAnsi="Times New Roman" w:eastAsia="方正小标宋_GBK"/>
          <w:snapToGrid w:val="0"/>
          <w:color w:val="auto"/>
          <w:sz w:val="38"/>
          <w:szCs w:val="38"/>
          <w:highlight w:val="none"/>
        </w:rPr>
        <w:t>建设项目污染物排放量汇总表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2369"/>
        <w:gridCol w:w="1577"/>
        <w:gridCol w:w="1577"/>
        <w:gridCol w:w="1577"/>
        <w:gridCol w:w="1577"/>
        <w:gridCol w:w="1577"/>
        <w:gridCol w:w="1579"/>
        <w:gridCol w:w="12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tcBorders>
              <w:tl2br w:val="single" w:color="auto" w:sz="4" w:space="0"/>
            </w:tcBorders>
            <w:noWrap w:val="0"/>
            <w:tcMar>
              <w:left w:w="28" w:type="dxa"/>
              <w:right w:w="28" w:type="dxa"/>
            </w:tcMar>
            <w:vAlign w:val="center"/>
          </w:tcPr>
          <w:p>
            <w:pPr>
              <w:pStyle w:val="34"/>
              <w:spacing w:beforeLines="0" w:afterLines="0" w:line="240" w:lineRule="auto"/>
              <w:jc w:val="right"/>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项目</w:t>
            </w:r>
          </w:p>
          <w:p>
            <w:pPr>
              <w:pStyle w:val="34"/>
              <w:spacing w:beforeLines="0" w:afterLines="0" w:line="240" w:lineRule="auto"/>
              <w:jc w:val="left"/>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分类</w:t>
            </w:r>
          </w:p>
        </w:tc>
        <w:tc>
          <w:tcPr>
            <w:tcW w:w="845" w:type="pct"/>
            <w:noWrap w:val="0"/>
            <w:tcMar>
              <w:left w:w="28" w:type="dxa"/>
              <w:right w:w="28" w:type="dxa"/>
            </w:tcMar>
            <w:vAlign w:val="center"/>
          </w:tcPr>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污染物名称</w:t>
            </w:r>
          </w:p>
        </w:tc>
        <w:tc>
          <w:tcPr>
            <w:tcW w:w="562" w:type="pct"/>
            <w:noWrap w:val="0"/>
            <w:tcMar>
              <w:left w:w="28" w:type="dxa"/>
              <w:right w:w="28" w:type="dxa"/>
            </w:tcMar>
            <w:vAlign w:val="center"/>
          </w:tcPr>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w:t>
            </w:r>
          </w:p>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kern w:val="2"/>
                <w:szCs w:val="21"/>
                <w:highlight w:val="none"/>
              </w:rPr>
              <w:t>①</w:t>
            </w:r>
            <w:r>
              <w:rPr>
                <w:rFonts w:ascii="Times New Roman"/>
                <w:snapToGrid w:val="0"/>
                <w:color w:val="auto"/>
                <w:spacing w:val="-6"/>
                <w:kern w:val="21"/>
                <w:szCs w:val="21"/>
                <w:highlight w:val="none"/>
              </w:rPr>
              <w:fldChar w:fldCharType="end"/>
            </w:r>
          </w:p>
        </w:tc>
        <w:tc>
          <w:tcPr>
            <w:tcW w:w="562" w:type="pct"/>
            <w:noWrap w:val="0"/>
            <w:tcMar>
              <w:left w:w="28" w:type="dxa"/>
              <w:right w:w="28" w:type="dxa"/>
            </w:tcMar>
            <w:vAlign w:val="center"/>
          </w:tcPr>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w:t>
            </w:r>
          </w:p>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许可排放量</w:t>
            </w:r>
          </w:p>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2 \* GB3 \* MERGEFORMAT </w:instrText>
            </w:r>
            <w:r>
              <w:rPr>
                <w:rFonts w:ascii="Times New Roman"/>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snapToGrid w:val="0"/>
                <w:color w:val="auto"/>
                <w:spacing w:val="-6"/>
                <w:kern w:val="21"/>
                <w:szCs w:val="21"/>
                <w:highlight w:val="none"/>
              </w:rPr>
              <w:fldChar w:fldCharType="end"/>
            </w:r>
          </w:p>
        </w:tc>
        <w:tc>
          <w:tcPr>
            <w:tcW w:w="562" w:type="pct"/>
            <w:noWrap w:val="0"/>
            <w:tcMar>
              <w:left w:w="28" w:type="dxa"/>
              <w:right w:w="28" w:type="dxa"/>
            </w:tcMar>
            <w:vAlign w:val="center"/>
          </w:tcPr>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在建工程</w:t>
            </w:r>
          </w:p>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hint="eastAsia" w:hAnsi="宋体" w:cs="宋体"/>
                <w:color w:val="auto"/>
                <w:kern w:val="2"/>
                <w:szCs w:val="21"/>
                <w:highlight w:val="none"/>
              </w:rPr>
              <w:t>③</w:t>
            </w:r>
            <w:r>
              <w:rPr>
                <w:rFonts w:ascii="Times New Roman"/>
                <w:snapToGrid w:val="0"/>
                <w:color w:val="auto"/>
                <w:spacing w:val="-6"/>
                <w:kern w:val="21"/>
                <w:szCs w:val="21"/>
                <w:highlight w:val="none"/>
              </w:rPr>
              <w:fldChar w:fldCharType="end"/>
            </w:r>
          </w:p>
        </w:tc>
        <w:tc>
          <w:tcPr>
            <w:tcW w:w="562" w:type="pct"/>
            <w:noWrap w:val="0"/>
            <w:tcMar>
              <w:left w:w="28" w:type="dxa"/>
              <w:right w:w="28" w:type="dxa"/>
            </w:tcMar>
            <w:vAlign w:val="center"/>
          </w:tcPr>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本项目</w:t>
            </w:r>
          </w:p>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hint="eastAsia" w:hAnsi="宋体" w:cs="宋体"/>
                <w:color w:val="auto"/>
                <w:kern w:val="2"/>
                <w:szCs w:val="21"/>
                <w:highlight w:val="none"/>
              </w:rPr>
              <w:t>④</w:t>
            </w:r>
            <w:r>
              <w:rPr>
                <w:rFonts w:ascii="Times New Roman"/>
                <w:snapToGrid w:val="0"/>
                <w:color w:val="auto"/>
                <w:spacing w:val="-6"/>
                <w:kern w:val="21"/>
                <w:szCs w:val="21"/>
                <w:highlight w:val="none"/>
              </w:rPr>
              <w:fldChar w:fldCharType="end"/>
            </w:r>
          </w:p>
        </w:tc>
        <w:tc>
          <w:tcPr>
            <w:tcW w:w="562" w:type="pct"/>
            <w:noWrap w:val="0"/>
            <w:tcMar>
              <w:left w:w="28" w:type="dxa"/>
              <w:right w:w="28" w:type="dxa"/>
            </w:tcMar>
            <w:vAlign w:val="center"/>
          </w:tcPr>
          <w:p>
            <w:pPr>
              <w:pStyle w:val="34"/>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以新带老削减量</w:t>
            </w:r>
          </w:p>
          <w:p>
            <w:pPr>
              <w:pStyle w:val="34"/>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（新建项目不填）</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hint="eastAsia" w:hAnsi="宋体" w:cs="宋体"/>
                <w:color w:val="auto"/>
                <w:kern w:val="2"/>
                <w:szCs w:val="21"/>
                <w:highlight w:val="none"/>
              </w:rPr>
              <w:t>⑤</w:t>
            </w:r>
            <w:r>
              <w:rPr>
                <w:rFonts w:ascii="Times New Roman"/>
                <w:snapToGrid w:val="0"/>
                <w:color w:val="auto"/>
                <w:spacing w:val="-16"/>
                <w:kern w:val="21"/>
                <w:szCs w:val="21"/>
                <w:highlight w:val="none"/>
              </w:rPr>
              <w:fldChar w:fldCharType="end"/>
            </w:r>
          </w:p>
        </w:tc>
        <w:tc>
          <w:tcPr>
            <w:tcW w:w="563" w:type="pct"/>
            <w:noWrap w:val="0"/>
            <w:tcMar>
              <w:left w:w="28" w:type="dxa"/>
              <w:right w:w="28" w:type="dxa"/>
            </w:tcMar>
            <w:vAlign w:val="center"/>
          </w:tcPr>
          <w:p>
            <w:pPr>
              <w:pStyle w:val="34"/>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本项目建成后</w:t>
            </w:r>
          </w:p>
          <w:p>
            <w:pPr>
              <w:pStyle w:val="34"/>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全厂排放量（固体废物产生量）</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kern w:val="2"/>
                <w:szCs w:val="21"/>
                <w:highlight w:val="none"/>
              </w:rPr>
              <w:t>⑥</w:t>
            </w:r>
            <w:r>
              <w:rPr>
                <w:rFonts w:ascii="Times New Roman"/>
                <w:snapToGrid w:val="0"/>
                <w:color w:val="auto"/>
                <w:spacing w:val="-16"/>
                <w:kern w:val="21"/>
                <w:szCs w:val="21"/>
                <w:highlight w:val="none"/>
              </w:rPr>
              <w:fldChar w:fldCharType="end"/>
            </w:r>
          </w:p>
        </w:tc>
        <w:tc>
          <w:tcPr>
            <w:tcW w:w="437" w:type="pct"/>
            <w:noWrap w:val="0"/>
            <w:tcMar>
              <w:left w:w="28" w:type="dxa"/>
              <w:right w:w="28" w:type="dxa"/>
            </w:tcMar>
            <w:vAlign w:val="center"/>
          </w:tcPr>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变化量</w:t>
            </w:r>
          </w:p>
          <w:p>
            <w:pPr>
              <w:pStyle w:val="34"/>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hint="eastAsia" w:hAnsi="宋体" w:cs="宋体"/>
                <w:color w:val="auto"/>
                <w:kern w:val="2"/>
                <w:szCs w:val="21"/>
                <w:highlight w:val="none"/>
              </w:rPr>
              <w:t>⑦</w:t>
            </w:r>
            <w:r>
              <w:rPr>
                <w:rFonts w:ascii="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restart"/>
            <w:noWrap w:val="0"/>
            <w:vAlign w:val="center"/>
          </w:tcPr>
          <w:p>
            <w:pPr>
              <w:pStyle w:val="34"/>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845" w:type="pct"/>
            <w:noWrap w:val="0"/>
            <w:vAlign w:val="center"/>
          </w:tcPr>
          <w:p>
            <w:pPr>
              <w:pStyle w:val="34"/>
              <w:spacing w:beforeLines="0" w:afterLines="0" w:line="240" w:lineRule="auto"/>
              <w:rPr>
                <w:rFonts w:ascii="Times New Roman" w:hAnsi="Times New Roman" w:eastAsia="宋体" w:cs="黑体"/>
                <w:snapToGrid w:val="0"/>
                <w:color w:val="auto"/>
                <w:kern w:val="21"/>
                <w:sz w:val="21"/>
                <w:szCs w:val="21"/>
                <w:highlight w:val="none"/>
                <w:lang w:val="en-US" w:eastAsia="zh-CN" w:bidi="ar-SA"/>
              </w:rPr>
            </w:pPr>
            <w:r>
              <w:rPr>
                <w:rFonts w:ascii="Times New Roman"/>
                <w:snapToGrid w:val="0"/>
                <w:color w:val="auto"/>
                <w:kern w:val="21"/>
                <w:szCs w:val="21"/>
                <w:highlight w:val="none"/>
              </w:rPr>
              <w:t>NH</w:t>
            </w:r>
            <w:r>
              <w:rPr>
                <w:rFonts w:ascii="Times New Roman"/>
                <w:snapToGrid w:val="0"/>
                <w:color w:val="auto"/>
                <w:kern w:val="21"/>
                <w:szCs w:val="21"/>
                <w:highlight w:val="none"/>
                <w:vertAlign w:val="subscript"/>
              </w:rPr>
              <w:t>3</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1.893kg/a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1.893kg/a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pStyle w:val="34"/>
              <w:spacing w:beforeLines="0" w:afterLines="0" w:line="240" w:lineRule="auto"/>
              <w:rPr>
                <w:rFonts w:ascii="Times New Roman" w:hAnsi="Times New Roman" w:eastAsia="宋体" w:cs="黑体"/>
                <w:snapToGrid w:val="0"/>
                <w:color w:val="auto"/>
                <w:kern w:val="21"/>
                <w:sz w:val="21"/>
                <w:szCs w:val="21"/>
                <w:highlight w:val="none"/>
                <w:lang w:val="en-US" w:eastAsia="zh-CN" w:bidi="ar-SA"/>
              </w:rPr>
            </w:pPr>
            <w:r>
              <w:rPr>
                <w:rFonts w:ascii="Times New Roman"/>
                <w:color w:val="auto"/>
                <w:szCs w:val="21"/>
                <w:highlight w:val="none"/>
              </w:rPr>
              <w:t>H</w:t>
            </w:r>
            <w:r>
              <w:rPr>
                <w:rFonts w:ascii="Times New Roman"/>
                <w:color w:val="auto"/>
                <w:szCs w:val="21"/>
                <w:highlight w:val="none"/>
                <w:vertAlign w:val="subscript"/>
              </w:rPr>
              <w:t>2</w:t>
            </w:r>
            <w:r>
              <w:rPr>
                <w:rFonts w:ascii="Times New Roman"/>
                <w:color w:val="auto"/>
                <w:szCs w:val="21"/>
                <w:highlight w:val="none"/>
              </w:rPr>
              <w:t>S</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0.073kg/a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0.073kg/a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restart"/>
            <w:noWrap w:val="0"/>
            <w:vAlign w:val="center"/>
          </w:tcPr>
          <w:p>
            <w:pPr>
              <w:pStyle w:val="34"/>
              <w:spacing w:before="24" w:after="24"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845" w:type="pct"/>
            <w:noWrap w:val="0"/>
            <w:vAlign w:val="center"/>
          </w:tcPr>
          <w:p>
            <w:pPr>
              <w:pStyle w:val="34"/>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废水</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spacing w:beforeLines="0" w:afterLines="0" w:line="240" w:lineRule="auto"/>
              <w:rPr>
                <w:rFonts w:hint="default" w:ascii="Times New Roman"/>
                <w:snapToGrid w:val="0"/>
                <w:color w:val="auto"/>
                <w:kern w:val="21"/>
                <w:szCs w:val="21"/>
                <w:highlight w:val="none"/>
                <w:lang w:val="en-US"/>
              </w:rPr>
            </w:pPr>
            <w:r>
              <w:rPr>
                <w:rFonts w:hint="eastAsia" w:cs="Times New Roman"/>
                <w:i w:val="0"/>
                <w:iCs w:val="0"/>
                <w:color w:val="auto"/>
                <w:kern w:val="0"/>
                <w:sz w:val="21"/>
                <w:szCs w:val="21"/>
                <w:highlight w:val="none"/>
                <w:u w:val="none"/>
                <w:lang w:val="en-US" w:eastAsia="zh-CN" w:bidi="ar"/>
              </w:rPr>
              <w:t>26542.80t/a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pStyle w:val="3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26542.80t/a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pStyle w:val="34"/>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COD</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i w:val="0"/>
                <w:iCs w:val="0"/>
                <w:color w:val="auto"/>
                <w:kern w:val="0"/>
                <w:sz w:val="21"/>
                <w:szCs w:val="21"/>
                <w:highlight w:val="none"/>
                <w:u w:val="none"/>
                <w:lang w:val="en-US" w:eastAsia="zh-CN" w:bidi="ar"/>
              </w:rPr>
              <w:t>6.636t/a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0"/>
                <w:szCs w:val="20"/>
                <w:highlight w:val="none"/>
                <w:lang w:val="en-US" w:eastAsia="zh-CN" w:bidi="ar-SA"/>
              </w:rPr>
            </w:pPr>
            <w:r>
              <w:rPr>
                <w:rFonts w:hint="eastAsia" w:cs="Times New Roman"/>
                <w:i w:val="0"/>
                <w:iCs w:val="0"/>
                <w:color w:val="auto"/>
                <w:kern w:val="0"/>
                <w:sz w:val="21"/>
                <w:szCs w:val="21"/>
                <w:highlight w:val="none"/>
                <w:u w:val="none"/>
                <w:lang w:val="en-US" w:eastAsia="zh-CN" w:bidi="ar"/>
              </w:rPr>
              <w:t>6.636t/a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pStyle w:val="34"/>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NH</w:t>
            </w:r>
            <w:r>
              <w:rPr>
                <w:rFonts w:ascii="Times New Roman"/>
                <w:snapToGrid w:val="0"/>
                <w:color w:val="auto"/>
                <w:kern w:val="21"/>
                <w:szCs w:val="21"/>
                <w:highlight w:val="none"/>
                <w:vertAlign w:val="subscript"/>
              </w:rPr>
              <w:t>3</w:t>
            </w:r>
            <w:r>
              <w:rPr>
                <w:rFonts w:ascii="Times New Roman"/>
                <w:snapToGrid w:val="0"/>
                <w:color w:val="auto"/>
                <w:kern w:val="21"/>
                <w:szCs w:val="21"/>
                <w:highlight w:val="none"/>
              </w:rPr>
              <w:t>-N</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lang w:val="en-US" w:eastAsia="zh-CN" w:bidi="ar-SA"/>
              </w:rPr>
            </w:pPr>
            <w:r>
              <w:rPr>
                <w:rFonts w:hint="eastAsia" w:cs="Times New Roman"/>
                <w:i w:val="0"/>
                <w:iCs w:val="0"/>
                <w:color w:val="auto"/>
                <w:kern w:val="0"/>
                <w:sz w:val="21"/>
                <w:szCs w:val="21"/>
                <w:highlight w:val="none"/>
                <w:u w:val="none"/>
                <w:lang w:val="en-US" w:eastAsia="zh-CN" w:bidi="ar"/>
              </w:rPr>
              <w:t>1.194t/a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lang w:val="en-US" w:eastAsia="zh-CN" w:bidi="ar-SA"/>
              </w:rPr>
            </w:pPr>
            <w:r>
              <w:rPr>
                <w:rFonts w:hint="eastAsia" w:cs="Times New Roman"/>
                <w:i w:val="0"/>
                <w:iCs w:val="0"/>
                <w:color w:val="auto"/>
                <w:kern w:val="0"/>
                <w:sz w:val="21"/>
                <w:szCs w:val="21"/>
                <w:highlight w:val="none"/>
                <w:u w:val="none"/>
                <w:lang w:val="en-US" w:eastAsia="zh-CN" w:bidi="ar"/>
              </w:rPr>
              <w:t>1.194t/a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pStyle w:val="34"/>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TP</w:t>
            </w:r>
          </w:p>
        </w:tc>
        <w:tc>
          <w:tcPr>
            <w:tcW w:w="562" w:type="pct"/>
            <w:noWrap w:val="0"/>
            <w:vAlign w:val="center"/>
          </w:tcPr>
          <w:p>
            <w:pPr>
              <w:pStyle w:val="34"/>
              <w:rPr>
                <w:rFonts w:hint="eastAsia"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212t/a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212t/a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restart"/>
            <w:noWrap w:val="0"/>
            <w:vAlign w:val="center"/>
          </w:tcPr>
          <w:p>
            <w:pPr>
              <w:pStyle w:val="34"/>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一般工业固体废物</w:t>
            </w: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生活垃圾</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87.75</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87.75</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餐厨垃圾</w:t>
            </w:r>
          </w:p>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（含油水分离浮油）</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9.13</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9.13</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未感染的输液瓶（袋）</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lang w:val="en-US" w:eastAsia="zh-CN"/>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lang w:val="en-US" w:eastAsia="zh-CN"/>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lang w:val="en-US" w:eastAsia="zh-CN"/>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lang w:val="en-US" w:eastAsia="zh-CN"/>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废包装材料</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废过滤材料</w:t>
            </w:r>
          </w:p>
        </w:tc>
        <w:tc>
          <w:tcPr>
            <w:tcW w:w="562" w:type="pct"/>
            <w:noWrap w:val="0"/>
            <w:vAlign w:val="center"/>
          </w:tcPr>
          <w:p>
            <w:pPr>
              <w:pStyle w:val="34"/>
              <w:rPr>
                <w:rFonts w:hint="eastAsia" w:ascii="Times New Roman"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w:t>
            </w:r>
          </w:p>
        </w:tc>
        <w:tc>
          <w:tcPr>
            <w:tcW w:w="562" w:type="pct"/>
            <w:noWrap w:val="0"/>
            <w:vAlign w:val="center"/>
          </w:tcPr>
          <w:p>
            <w:pPr>
              <w:pStyle w:val="34"/>
              <w:rPr>
                <w:rFonts w:hint="eastAsia" w:ascii="Times New Roman"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w:t>
            </w:r>
          </w:p>
        </w:tc>
        <w:tc>
          <w:tcPr>
            <w:tcW w:w="562" w:type="pct"/>
            <w:noWrap w:val="0"/>
            <w:vAlign w:val="center"/>
          </w:tcPr>
          <w:p>
            <w:pPr>
              <w:pStyle w:val="34"/>
              <w:rPr>
                <w:rFonts w:hint="eastAsia" w:ascii="Times New Roman"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1.53</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1.53</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restart"/>
            <w:noWrap w:val="0"/>
            <w:vAlign w:val="center"/>
          </w:tcPr>
          <w:p>
            <w:pPr>
              <w:pStyle w:val="34"/>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危险</w:t>
            </w:r>
          </w:p>
          <w:p>
            <w:pPr>
              <w:pStyle w:val="34"/>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废物</w:t>
            </w: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医疗废物</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33.04</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33.04</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废药物、废药品</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污泥</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14.27</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14.27</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ascii="Times New Roman"/>
                <w:snapToGrid w:val="0"/>
                <w:color w:val="auto"/>
                <w:kern w:val="21"/>
                <w:szCs w:val="21"/>
                <w:highlight w:val="none"/>
              </w:rPr>
            </w:pPr>
            <w:r>
              <w:rPr>
                <w:rFonts w:hint="eastAsia"/>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noWrap w:val="0"/>
            <w:vAlign w:val="center"/>
          </w:tcPr>
          <w:p>
            <w:pPr>
              <w:pStyle w:val="34"/>
              <w:spacing w:beforeLines="0" w:afterLines="0" w:line="240" w:lineRule="auto"/>
              <w:rPr>
                <w:rFonts w:ascii="Times New Roman"/>
                <w:snapToGrid w:val="0"/>
                <w:color w:val="auto"/>
                <w:kern w:val="21"/>
                <w:szCs w:val="21"/>
                <w:highlight w:val="none"/>
              </w:rPr>
            </w:pPr>
          </w:p>
        </w:tc>
        <w:tc>
          <w:tcPr>
            <w:tcW w:w="845" w:type="pct"/>
            <w:noWrap w:val="0"/>
            <w:vAlign w:val="center"/>
          </w:tcPr>
          <w:p>
            <w:pPr>
              <w:keepNext w:val="0"/>
              <w:keepLines w:val="0"/>
              <w:pageBreakBefore w:val="0"/>
              <w:wordWrap/>
              <w:topLinePunct w:val="0"/>
              <w:bidi w:val="0"/>
              <w:spacing w:line="240" w:lineRule="auto"/>
              <w:ind w:left="0" w:lef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废紫外灯</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2"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r>
              <w:rPr>
                <w:rFonts w:hint="eastAsia" w:cs="Times New Roman"/>
                <w:i w:val="0"/>
                <w:iCs w:val="0"/>
                <w:color w:val="auto"/>
                <w:kern w:val="0"/>
                <w:sz w:val="21"/>
                <w:szCs w:val="21"/>
                <w:highlight w:val="none"/>
                <w:u w:val="none"/>
                <w:lang w:val="en-US" w:eastAsia="zh-CN" w:bidi="ar"/>
              </w:rPr>
              <w:t>t/a</w:t>
            </w:r>
          </w:p>
        </w:tc>
        <w:tc>
          <w:tcPr>
            <w:tcW w:w="562"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c>
          <w:tcPr>
            <w:tcW w:w="563" w:type="pct"/>
            <w:noWrap w:val="0"/>
            <w:vAlign w:val="center"/>
          </w:tcPr>
          <w:p>
            <w:pPr>
              <w:keepNext w:val="0"/>
              <w:keepLines w:val="0"/>
              <w:pageBreakBefore w:val="0"/>
              <w:wordWrap/>
              <w:topLinePunct w:val="0"/>
              <w:bidi w:val="0"/>
              <w:spacing w:line="240" w:lineRule="auto"/>
              <w:ind w:left="0" w:lef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r>
              <w:rPr>
                <w:rFonts w:hint="eastAsia" w:cs="Times New Roman"/>
                <w:i w:val="0"/>
                <w:iCs w:val="0"/>
                <w:color w:val="auto"/>
                <w:kern w:val="0"/>
                <w:sz w:val="21"/>
                <w:szCs w:val="21"/>
                <w:highlight w:val="none"/>
                <w:u w:val="none"/>
                <w:lang w:val="en-US" w:eastAsia="zh-CN" w:bidi="ar"/>
              </w:rPr>
              <w:t>t/a</w:t>
            </w:r>
          </w:p>
        </w:tc>
        <w:tc>
          <w:tcPr>
            <w:tcW w:w="437" w:type="pct"/>
            <w:noWrap w:val="0"/>
            <w:vAlign w:val="center"/>
          </w:tcPr>
          <w:p>
            <w:pPr>
              <w:pStyle w:val="34"/>
              <w:rPr>
                <w:rFonts w:hint="eastAsia"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highlight w:val="none"/>
              </w:rPr>
              <w:t>0</w:t>
            </w:r>
          </w:p>
        </w:tc>
      </w:tr>
    </w:tbl>
    <w:p>
      <w:pPr>
        <w:pStyle w:val="34"/>
        <w:spacing w:before="192" w:beforeLines="80" w:after="24" w:line="240" w:lineRule="auto"/>
        <w:jc w:val="left"/>
        <w:rPr>
          <w:color w:val="auto"/>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p>
    <w:sectPr>
      <w:pgSz w:w="16838" w:h="11906"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F65F2"/>
    <w:multiLevelType w:val="singleLevel"/>
    <w:tmpl w:val="8CBF65F2"/>
    <w:lvl w:ilvl="0" w:tentative="0">
      <w:start w:val="1"/>
      <w:numFmt w:val="chineseCounting"/>
      <w:suff w:val="nothing"/>
      <w:lvlText w:val="%1、"/>
      <w:lvlJc w:val="left"/>
      <w:rPr>
        <w:rFonts w:hint="eastAsia"/>
      </w:rPr>
    </w:lvl>
  </w:abstractNum>
  <w:abstractNum w:abstractNumId="1">
    <w:nsid w:val="A9FD78DE"/>
    <w:multiLevelType w:val="singleLevel"/>
    <w:tmpl w:val="A9FD78DE"/>
    <w:lvl w:ilvl="0" w:tentative="0">
      <w:start w:val="1"/>
      <w:numFmt w:val="decimal"/>
      <w:suff w:val="nothing"/>
      <w:lvlText w:val="（%1）"/>
      <w:lvlJc w:val="left"/>
    </w:lvl>
  </w:abstractNum>
  <w:abstractNum w:abstractNumId="2">
    <w:nsid w:val="7BB919B6"/>
    <w:multiLevelType w:val="singleLevel"/>
    <w:tmpl w:val="7BB919B6"/>
    <w:lvl w:ilvl="0" w:tentative="0">
      <w:start w:val="1"/>
      <w:numFmt w:val="decimal"/>
      <w:suff w:val="nothing"/>
      <w:lvlText w:val="%1、"/>
      <w:lvlJc w:val="left"/>
    </w:lvl>
  </w:abstractNum>
  <w:abstractNum w:abstractNumId="3">
    <w:nsid w:val="7F968553"/>
    <w:multiLevelType w:val="singleLevel"/>
    <w:tmpl w:val="7F968553"/>
    <w:lvl w:ilvl="0" w:tentative="0">
      <w:start w:val="2"/>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00172A27"/>
    <w:rsid w:val="005D28B0"/>
    <w:rsid w:val="00681EDA"/>
    <w:rsid w:val="00A33EAA"/>
    <w:rsid w:val="00A43798"/>
    <w:rsid w:val="00B92181"/>
    <w:rsid w:val="00D348C5"/>
    <w:rsid w:val="01052FF0"/>
    <w:rsid w:val="01056298"/>
    <w:rsid w:val="01060B1F"/>
    <w:rsid w:val="01124D80"/>
    <w:rsid w:val="011C0BE0"/>
    <w:rsid w:val="015720A0"/>
    <w:rsid w:val="0168325F"/>
    <w:rsid w:val="01714809"/>
    <w:rsid w:val="017641DF"/>
    <w:rsid w:val="018A6DE1"/>
    <w:rsid w:val="01A87C34"/>
    <w:rsid w:val="01A97EBB"/>
    <w:rsid w:val="01AC59EF"/>
    <w:rsid w:val="01D152A8"/>
    <w:rsid w:val="01D63896"/>
    <w:rsid w:val="01E16E78"/>
    <w:rsid w:val="01EC49EA"/>
    <w:rsid w:val="01F16D5B"/>
    <w:rsid w:val="020572EB"/>
    <w:rsid w:val="022678CE"/>
    <w:rsid w:val="022D3AD7"/>
    <w:rsid w:val="023F2212"/>
    <w:rsid w:val="02516F0E"/>
    <w:rsid w:val="02737AF6"/>
    <w:rsid w:val="028D7D74"/>
    <w:rsid w:val="02B04EBD"/>
    <w:rsid w:val="02B07743"/>
    <w:rsid w:val="02BF390E"/>
    <w:rsid w:val="02BF7C23"/>
    <w:rsid w:val="02D634CE"/>
    <w:rsid w:val="02DF4388"/>
    <w:rsid w:val="02E52F68"/>
    <w:rsid w:val="02E90A19"/>
    <w:rsid w:val="03244FD8"/>
    <w:rsid w:val="032B6C3A"/>
    <w:rsid w:val="03416551"/>
    <w:rsid w:val="03593570"/>
    <w:rsid w:val="03625C7A"/>
    <w:rsid w:val="039836A4"/>
    <w:rsid w:val="03A6529F"/>
    <w:rsid w:val="03BE0A61"/>
    <w:rsid w:val="03C030A6"/>
    <w:rsid w:val="03CD109D"/>
    <w:rsid w:val="03CF5817"/>
    <w:rsid w:val="03E9585B"/>
    <w:rsid w:val="03FB4A9A"/>
    <w:rsid w:val="04293CFB"/>
    <w:rsid w:val="046C392C"/>
    <w:rsid w:val="047D34C5"/>
    <w:rsid w:val="049C1B9D"/>
    <w:rsid w:val="04A24D7A"/>
    <w:rsid w:val="04AC5B58"/>
    <w:rsid w:val="04AE367F"/>
    <w:rsid w:val="04B61E71"/>
    <w:rsid w:val="04C36E30"/>
    <w:rsid w:val="04DD3F64"/>
    <w:rsid w:val="050558D1"/>
    <w:rsid w:val="05137986"/>
    <w:rsid w:val="05497485"/>
    <w:rsid w:val="054F5218"/>
    <w:rsid w:val="05916D5F"/>
    <w:rsid w:val="05921402"/>
    <w:rsid w:val="05B64EE1"/>
    <w:rsid w:val="05D55216"/>
    <w:rsid w:val="05EC713F"/>
    <w:rsid w:val="060924A2"/>
    <w:rsid w:val="060F45F1"/>
    <w:rsid w:val="061A40F4"/>
    <w:rsid w:val="064202F5"/>
    <w:rsid w:val="06601117"/>
    <w:rsid w:val="06613955"/>
    <w:rsid w:val="0664616D"/>
    <w:rsid w:val="06745081"/>
    <w:rsid w:val="069A65B0"/>
    <w:rsid w:val="06A47A41"/>
    <w:rsid w:val="06C158EB"/>
    <w:rsid w:val="06E272C3"/>
    <w:rsid w:val="070F7027"/>
    <w:rsid w:val="0711773C"/>
    <w:rsid w:val="071C19C6"/>
    <w:rsid w:val="071F2612"/>
    <w:rsid w:val="073C0CD6"/>
    <w:rsid w:val="075A7AEE"/>
    <w:rsid w:val="077C7F6A"/>
    <w:rsid w:val="07AA0EFE"/>
    <w:rsid w:val="07AF1BE8"/>
    <w:rsid w:val="07B91CD2"/>
    <w:rsid w:val="07BF4EA6"/>
    <w:rsid w:val="0802208B"/>
    <w:rsid w:val="083D5587"/>
    <w:rsid w:val="085B203D"/>
    <w:rsid w:val="087A7D24"/>
    <w:rsid w:val="087C5E5D"/>
    <w:rsid w:val="08850322"/>
    <w:rsid w:val="08896684"/>
    <w:rsid w:val="088E3395"/>
    <w:rsid w:val="08B45D66"/>
    <w:rsid w:val="08BA5EC0"/>
    <w:rsid w:val="08DF3D86"/>
    <w:rsid w:val="08FD2202"/>
    <w:rsid w:val="09364D69"/>
    <w:rsid w:val="096114AF"/>
    <w:rsid w:val="09680E93"/>
    <w:rsid w:val="098135C9"/>
    <w:rsid w:val="09B37E23"/>
    <w:rsid w:val="09B55304"/>
    <w:rsid w:val="09E12A3C"/>
    <w:rsid w:val="09EC5ECA"/>
    <w:rsid w:val="0A026946"/>
    <w:rsid w:val="0A045CA0"/>
    <w:rsid w:val="0A122DE7"/>
    <w:rsid w:val="0A20501F"/>
    <w:rsid w:val="0A2E159F"/>
    <w:rsid w:val="0A4860CC"/>
    <w:rsid w:val="0A4C6F14"/>
    <w:rsid w:val="0A502BA4"/>
    <w:rsid w:val="0A711083"/>
    <w:rsid w:val="0AA277E2"/>
    <w:rsid w:val="0ABB49A2"/>
    <w:rsid w:val="0AD12D78"/>
    <w:rsid w:val="0ADF3FFA"/>
    <w:rsid w:val="0AE21A95"/>
    <w:rsid w:val="0AFE3D2C"/>
    <w:rsid w:val="0AFF38A1"/>
    <w:rsid w:val="0B233E98"/>
    <w:rsid w:val="0B855B1B"/>
    <w:rsid w:val="0B866A2E"/>
    <w:rsid w:val="0B920249"/>
    <w:rsid w:val="0B9F7FF7"/>
    <w:rsid w:val="0BB80509"/>
    <w:rsid w:val="0BDE0CED"/>
    <w:rsid w:val="0BE100D9"/>
    <w:rsid w:val="0BEC3448"/>
    <w:rsid w:val="0BFE49A1"/>
    <w:rsid w:val="0C1206E1"/>
    <w:rsid w:val="0C1579B9"/>
    <w:rsid w:val="0C6F381A"/>
    <w:rsid w:val="0C8A7DF1"/>
    <w:rsid w:val="0C985D86"/>
    <w:rsid w:val="0CA42502"/>
    <w:rsid w:val="0CC12C8F"/>
    <w:rsid w:val="0CD67C16"/>
    <w:rsid w:val="0CF35B6B"/>
    <w:rsid w:val="0D015A9B"/>
    <w:rsid w:val="0D0C4024"/>
    <w:rsid w:val="0D284D2F"/>
    <w:rsid w:val="0D2C2DDA"/>
    <w:rsid w:val="0D3A01A5"/>
    <w:rsid w:val="0D3B603D"/>
    <w:rsid w:val="0D6C40D7"/>
    <w:rsid w:val="0D705B0B"/>
    <w:rsid w:val="0D797BFD"/>
    <w:rsid w:val="0D973E0E"/>
    <w:rsid w:val="0DAB4BFF"/>
    <w:rsid w:val="0DAD66FB"/>
    <w:rsid w:val="0DC7774F"/>
    <w:rsid w:val="0DCD3982"/>
    <w:rsid w:val="0DF26CD2"/>
    <w:rsid w:val="0E0E4C97"/>
    <w:rsid w:val="0E344BF5"/>
    <w:rsid w:val="0E3A0F99"/>
    <w:rsid w:val="0E4B7603"/>
    <w:rsid w:val="0E553C2E"/>
    <w:rsid w:val="0E6753E5"/>
    <w:rsid w:val="0EA35638"/>
    <w:rsid w:val="0EA74B87"/>
    <w:rsid w:val="0EB21EF7"/>
    <w:rsid w:val="0F194967"/>
    <w:rsid w:val="0F4C05FA"/>
    <w:rsid w:val="0F4C27CC"/>
    <w:rsid w:val="0F6129FF"/>
    <w:rsid w:val="0F6A1C33"/>
    <w:rsid w:val="0F736CB4"/>
    <w:rsid w:val="0F76123D"/>
    <w:rsid w:val="0F7A33B8"/>
    <w:rsid w:val="0F873B4A"/>
    <w:rsid w:val="0FC0634A"/>
    <w:rsid w:val="0FD75BE1"/>
    <w:rsid w:val="0FD93D71"/>
    <w:rsid w:val="10037CD2"/>
    <w:rsid w:val="10202471"/>
    <w:rsid w:val="106D7072"/>
    <w:rsid w:val="10A34B4B"/>
    <w:rsid w:val="10AD283F"/>
    <w:rsid w:val="10B3726F"/>
    <w:rsid w:val="10B65B14"/>
    <w:rsid w:val="10C4382B"/>
    <w:rsid w:val="10F468BD"/>
    <w:rsid w:val="11077DDF"/>
    <w:rsid w:val="110B1594"/>
    <w:rsid w:val="11252F1A"/>
    <w:rsid w:val="1168783A"/>
    <w:rsid w:val="11694312"/>
    <w:rsid w:val="117D4B05"/>
    <w:rsid w:val="11B36778"/>
    <w:rsid w:val="11E0247E"/>
    <w:rsid w:val="11EE625F"/>
    <w:rsid w:val="122C48A4"/>
    <w:rsid w:val="123B0EF5"/>
    <w:rsid w:val="123C7E26"/>
    <w:rsid w:val="12837BF7"/>
    <w:rsid w:val="12895E65"/>
    <w:rsid w:val="129675E6"/>
    <w:rsid w:val="12B32B77"/>
    <w:rsid w:val="12C55D71"/>
    <w:rsid w:val="12E73C0C"/>
    <w:rsid w:val="130442A1"/>
    <w:rsid w:val="133253C2"/>
    <w:rsid w:val="13514306"/>
    <w:rsid w:val="13527F6D"/>
    <w:rsid w:val="136234C0"/>
    <w:rsid w:val="139A16DC"/>
    <w:rsid w:val="13BF1404"/>
    <w:rsid w:val="13CF5E6A"/>
    <w:rsid w:val="13DD21A1"/>
    <w:rsid w:val="13E112C4"/>
    <w:rsid w:val="13E63122"/>
    <w:rsid w:val="13F67483"/>
    <w:rsid w:val="140212F1"/>
    <w:rsid w:val="141A2ADF"/>
    <w:rsid w:val="14464D13"/>
    <w:rsid w:val="145968AE"/>
    <w:rsid w:val="147026FF"/>
    <w:rsid w:val="147232CA"/>
    <w:rsid w:val="14954B01"/>
    <w:rsid w:val="14B17671"/>
    <w:rsid w:val="14B950C8"/>
    <w:rsid w:val="14BB5F83"/>
    <w:rsid w:val="14CE4AB6"/>
    <w:rsid w:val="14DF7455"/>
    <w:rsid w:val="14E31122"/>
    <w:rsid w:val="151E65FF"/>
    <w:rsid w:val="1527196A"/>
    <w:rsid w:val="154170B6"/>
    <w:rsid w:val="15485AF9"/>
    <w:rsid w:val="156C2EC6"/>
    <w:rsid w:val="15732BFE"/>
    <w:rsid w:val="157C4041"/>
    <w:rsid w:val="15881755"/>
    <w:rsid w:val="158A0E51"/>
    <w:rsid w:val="15B462D2"/>
    <w:rsid w:val="15CF65B2"/>
    <w:rsid w:val="165B2F3A"/>
    <w:rsid w:val="165C22F1"/>
    <w:rsid w:val="16B40FC8"/>
    <w:rsid w:val="16C71A0C"/>
    <w:rsid w:val="170A6E3A"/>
    <w:rsid w:val="1715758D"/>
    <w:rsid w:val="17315F09"/>
    <w:rsid w:val="17321EED"/>
    <w:rsid w:val="176D19A9"/>
    <w:rsid w:val="17A54826"/>
    <w:rsid w:val="17D462F8"/>
    <w:rsid w:val="17F66765"/>
    <w:rsid w:val="17F82287"/>
    <w:rsid w:val="17F83137"/>
    <w:rsid w:val="18322D77"/>
    <w:rsid w:val="18425A6B"/>
    <w:rsid w:val="1850414F"/>
    <w:rsid w:val="1869292A"/>
    <w:rsid w:val="18711565"/>
    <w:rsid w:val="187F1162"/>
    <w:rsid w:val="18867EEE"/>
    <w:rsid w:val="18A013CD"/>
    <w:rsid w:val="18B564B4"/>
    <w:rsid w:val="18B71A64"/>
    <w:rsid w:val="18DA283C"/>
    <w:rsid w:val="18EA7EE8"/>
    <w:rsid w:val="194F322A"/>
    <w:rsid w:val="19962C07"/>
    <w:rsid w:val="19A6486F"/>
    <w:rsid w:val="19B32973"/>
    <w:rsid w:val="19B32CDE"/>
    <w:rsid w:val="19C25022"/>
    <w:rsid w:val="19EF6C30"/>
    <w:rsid w:val="1A140467"/>
    <w:rsid w:val="1A3B6870"/>
    <w:rsid w:val="1A3C5D88"/>
    <w:rsid w:val="1A402B73"/>
    <w:rsid w:val="1A622AE9"/>
    <w:rsid w:val="1A686421"/>
    <w:rsid w:val="1A6D7AA3"/>
    <w:rsid w:val="1A820E0B"/>
    <w:rsid w:val="1A991D03"/>
    <w:rsid w:val="1A9C02DE"/>
    <w:rsid w:val="1ABA2DF7"/>
    <w:rsid w:val="1ABD6907"/>
    <w:rsid w:val="1AC60FA3"/>
    <w:rsid w:val="1ADA4D76"/>
    <w:rsid w:val="1ADF72F8"/>
    <w:rsid w:val="1AE931D7"/>
    <w:rsid w:val="1B2B0CE1"/>
    <w:rsid w:val="1B3274A2"/>
    <w:rsid w:val="1BA65613"/>
    <w:rsid w:val="1BD73447"/>
    <w:rsid w:val="1BDB6FF7"/>
    <w:rsid w:val="1BE614F8"/>
    <w:rsid w:val="1BF10EFC"/>
    <w:rsid w:val="1C071B9A"/>
    <w:rsid w:val="1C0C71B1"/>
    <w:rsid w:val="1C1213A6"/>
    <w:rsid w:val="1C2420E9"/>
    <w:rsid w:val="1C3F4120"/>
    <w:rsid w:val="1C46244F"/>
    <w:rsid w:val="1C5D3A88"/>
    <w:rsid w:val="1C747E42"/>
    <w:rsid w:val="1C7D00AF"/>
    <w:rsid w:val="1CAA49F4"/>
    <w:rsid w:val="1CB24499"/>
    <w:rsid w:val="1CB44094"/>
    <w:rsid w:val="1CC87B08"/>
    <w:rsid w:val="1CD04565"/>
    <w:rsid w:val="1CDD2776"/>
    <w:rsid w:val="1CDF025A"/>
    <w:rsid w:val="1CE75528"/>
    <w:rsid w:val="1CEB14BC"/>
    <w:rsid w:val="1D1F4CC2"/>
    <w:rsid w:val="1D83660F"/>
    <w:rsid w:val="1DA3402A"/>
    <w:rsid w:val="1E1F5D96"/>
    <w:rsid w:val="1E4F15EF"/>
    <w:rsid w:val="1E53513E"/>
    <w:rsid w:val="1E6E5F01"/>
    <w:rsid w:val="1E7447BE"/>
    <w:rsid w:val="1E851A71"/>
    <w:rsid w:val="1EDC72CF"/>
    <w:rsid w:val="1EDC742B"/>
    <w:rsid w:val="1EE2244B"/>
    <w:rsid w:val="1EE30362"/>
    <w:rsid w:val="1F0E4C53"/>
    <w:rsid w:val="1F462BBD"/>
    <w:rsid w:val="1F55345D"/>
    <w:rsid w:val="1F8B0AA1"/>
    <w:rsid w:val="1FA22B72"/>
    <w:rsid w:val="1FE16D25"/>
    <w:rsid w:val="1FE52AE8"/>
    <w:rsid w:val="1FE97E8D"/>
    <w:rsid w:val="20052895"/>
    <w:rsid w:val="20125624"/>
    <w:rsid w:val="203902BE"/>
    <w:rsid w:val="20482300"/>
    <w:rsid w:val="20560B41"/>
    <w:rsid w:val="20592BE1"/>
    <w:rsid w:val="205B2B21"/>
    <w:rsid w:val="205E04E8"/>
    <w:rsid w:val="20670185"/>
    <w:rsid w:val="20672C08"/>
    <w:rsid w:val="2075768C"/>
    <w:rsid w:val="207F3166"/>
    <w:rsid w:val="20823D54"/>
    <w:rsid w:val="20937EA1"/>
    <w:rsid w:val="20961DA0"/>
    <w:rsid w:val="2097165D"/>
    <w:rsid w:val="20980B5A"/>
    <w:rsid w:val="20BA224F"/>
    <w:rsid w:val="20BD68C3"/>
    <w:rsid w:val="20C53DD2"/>
    <w:rsid w:val="20E13D6B"/>
    <w:rsid w:val="21104ABE"/>
    <w:rsid w:val="21126DA5"/>
    <w:rsid w:val="21303941"/>
    <w:rsid w:val="2154401E"/>
    <w:rsid w:val="216E45C7"/>
    <w:rsid w:val="21811739"/>
    <w:rsid w:val="219F7A75"/>
    <w:rsid w:val="21BF4CC5"/>
    <w:rsid w:val="21C10E49"/>
    <w:rsid w:val="21D7200F"/>
    <w:rsid w:val="21E23628"/>
    <w:rsid w:val="21EF0664"/>
    <w:rsid w:val="21F467CA"/>
    <w:rsid w:val="21FD363C"/>
    <w:rsid w:val="220804A8"/>
    <w:rsid w:val="220C1036"/>
    <w:rsid w:val="222B3757"/>
    <w:rsid w:val="22320182"/>
    <w:rsid w:val="22613E1B"/>
    <w:rsid w:val="226A7B8E"/>
    <w:rsid w:val="226B2757"/>
    <w:rsid w:val="228D0920"/>
    <w:rsid w:val="229F5B76"/>
    <w:rsid w:val="22A210B7"/>
    <w:rsid w:val="22A73024"/>
    <w:rsid w:val="22D24584"/>
    <w:rsid w:val="22F1429A"/>
    <w:rsid w:val="22F94CF9"/>
    <w:rsid w:val="230D784D"/>
    <w:rsid w:val="23281A5D"/>
    <w:rsid w:val="232A30F6"/>
    <w:rsid w:val="232B09BC"/>
    <w:rsid w:val="2333183B"/>
    <w:rsid w:val="2341673D"/>
    <w:rsid w:val="23443C2E"/>
    <w:rsid w:val="234C3DF7"/>
    <w:rsid w:val="235B27CC"/>
    <w:rsid w:val="2369138D"/>
    <w:rsid w:val="238D507B"/>
    <w:rsid w:val="23BF4B9C"/>
    <w:rsid w:val="23DE6D1A"/>
    <w:rsid w:val="241412F8"/>
    <w:rsid w:val="241B3072"/>
    <w:rsid w:val="2428111D"/>
    <w:rsid w:val="244D663D"/>
    <w:rsid w:val="244D6ECE"/>
    <w:rsid w:val="247E78C9"/>
    <w:rsid w:val="24A63F04"/>
    <w:rsid w:val="24A96B1D"/>
    <w:rsid w:val="24B403E6"/>
    <w:rsid w:val="24C2566F"/>
    <w:rsid w:val="24D64800"/>
    <w:rsid w:val="24E47ADD"/>
    <w:rsid w:val="24F3691F"/>
    <w:rsid w:val="24F90AA6"/>
    <w:rsid w:val="25052E0F"/>
    <w:rsid w:val="25061B68"/>
    <w:rsid w:val="25281DE7"/>
    <w:rsid w:val="253B247A"/>
    <w:rsid w:val="259D1937"/>
    <w:rsid w:val="25A02F8E"/>
    <w:rsid w:val="25A12DD9"/>
    <w:rsid w:val="25E940BF"/>
    <w:rsid w:val="25F211C5"/>
    <w:rsid w:val="26215F4F"/>
    <w:rsid w:val="26307C7A"/>
    <w:rsid w:val="26491B91"/>
    <w:rsid w:val="264A4649"/>
    <w:rsid w:val="26A36964"/>
    <w:rsid w:val="26A55390"/>
    <w:rsid w:val="26AC213A"/>
    <w:rsid w:val="26AE7280"/>
    <w:rsid w:val="26E131CB"/>
    <w:rsid w:val="26F37C34"/>
    <w:rsid w:val="2727261A"/>
    <w:rsid w:val="27286E69"/>
    <w:rsid w:val="276A6719"/>
    <w:rsid w:val="277D6AE1"/>
    <w:rsid w:val="278E4F1E"/>
    <w:rsid w:val="27AA5AD0"/>
    <w:rsid w:val="27AF30E6"/>
    <w:rsid w:val="27E92A9C"/>
    <w:rsid w:val="27FA3BC2"/>
    <w:rsid w:val="27FF7BCA"/>
    <w:rsid w:val="28194D89"/>
    <w:rsid w:val="28214BB3"/>
    <w:rsid w:val="282C0524"/>
    <w:rsid w:val="283A284D"/>
    <w:rsid w:val="2847172A"/>
    <w:rsid w:val="285C14C0"/>
    <w:rsid w:val="288B3B53"/>
    <w:rsid w:val="289538E0"/>
    <w:rsid w:val="28C64AF5"/>
    <w:rsid w:val="28D96F2B"/>
    <w:rsid w:val="28DC41A2"/>
    <w:rsid w:val="28F378E0"/>
    <w:rsid w:val="28FB65E3"/>
    <w:rsid w:val="291E2574"/>
    <w:rsid w:val="29245300"/>
    <w:rsid w:val="297168F1"/>
    <w:rsid w:val="29AC1FD3"/>
    <w:rsid w:val="29BD4E21"/>
    <w:rsid w:val="29D46E34"/>
    <w:rsid w:val="29D67050"/>
    <w:rsid w:val="29D81A29"/>
    <w:rsid w:val="29ED6E20"/>
    <w:rsid w:val="29FF2434"/>
    <w:rsid w:val="2A06146B"/>
    <w:rsid w:val="2A310EA7"/>
    <w:rsid w:val="2A353D77"/>
    <w:rsid w:val="2A3B1FD1"/>
    <w:rsid w:val="2A533451"/>
    <w:rsid w:val="2A5B2BDC"/>
    <w:rsid w:val="2A72157E"/>
    <w:rsid w:val="2A790107"/>
    <w:rsid w:val="2A7C15B5"/>
    <w:rsid w:val="2AAB16C0"/>
    <w:rsid w:val="2AC6025F"/>
    <w:rsid w:val="2AE33CA1"/>
    <w:rsid w:val="2AEE54FF"/>
    <w:rsid w:val="2B0D2CED"/>
    <w:rsid w:val="2B152FFB"/>
    <w:rsid w:val="2B247A2A"/>
    <w:rsid w:val="2B254913"/>
    <w:rsid w:val="2B261911"/>
    <w:rsid w:val="2B34219F"/>
    <w:rsid w:val="2B5B54D5"/>
    <w:rsid w:val="2B614F7D"/>
    <w:rsid w:val="2B9B296C"/>
    <w:rsid w:val="2BA016C4"/>
    <w:rsid w:val="2BA24B82"/>
    <w:rsid w:val="2BAE6981"/>
    <w:rsid w:val="2BC76C50"/>
    <w:rsid w:val="2BCD5474"/>
    <w:rsid w:val="2BD2566A"/>
    <w:rsid w:val="2BF26637"/>
    <w:rsid w:val="2BF923AB"/>
    <w:rsid w:val="2C0568AE"/>
    <w:rsid w:val="2C187060"/>
    <w:rsid w:val="2C1B33C6"/>
    <w:rsid w:val="2C277145"/>
    <w:rsid w:val="2C360683"/>
    <w:rsid w:val="2C8045B1"/>
    <w:rsid w:val="2C9C632F"/>
    <w:rsid w:val="2CA02613"/>
    <w:rsid w:val="2CAD4098"/>
    <w:rsid w:val="2CE675AA"/>
    <w:rsid w:val="2D54104E"/>
    <w:rsid w:val="2D667EA8"/>
    <w:rsid w:val="2D6A0110"/>
    <w:rsid w:val="2D880661"/>
    <w:rsid w:val="2DAC1DFB"/>
    <w:rsid w:val="2DE76DB3"/>
    <w:rsid w:val="2DEF51C4"/>
    <w:rsid w:val="2E17605E"/>
    <w:rsid w:val="2E2E17B0"/>
    <w:rsid w:val="2E2F6D2F"/>
    <w:rsid w:val="2E426A62"/>
    <w:rsid w:val="2E426DE3"/>
    <w:rsid w:val="2E620EB2"/>
    <w:rsid w:val="2E8A5886"/>
    <w:rsid w:val="2E8B665B"/>
    <w:rsid w:val="2E954D0E"/>
    <w:rsid w:val="2EA15E7F"/>
    <w:rsid w:val="2ECA5886"/>
    <w:rsid w:val="2ED24BD4"/>
    <w:rsid w:val="2F122C10"/>
    <w:rsid w:val="2F2D26FC"/>
    <w:rsid w:val="2F45373F"/>
    <w:rsid w:val="2F6D14BB"/>
    <w:rsid w:val="2F7E78CF"/>
    <w:rsid w:val="2FA11A71"/>
    <w:rsid w:val="2FC120DE"/>
    <w:rsid w:val="2FF739E0"/>
    <w:rsid w:val="301B1FE2"/>
    <w:rsid w:val="307F5033"/>
    <w:rsid w:val="309C47F6"/>
    <w:rsid w:val="30DE53B6"/>
    <w:rsid w:val="30FF4043"/>
    <w:rsid w:val="31302F30"/>
    <w:rsid w:val="318E6B68"/>
    <w:rsid w:val="31AC4FBA"/>
    <w:rsid w:val="31B163D9"/>
    <w:rsid w:val="31DE0344"/>
    <w:rsid w:val="31DE3146"/>
    <w:rsid w:val="31E56082"/>
    <w:rsid w:val="321C7D61"/>
    <w:rsid w:val="327216E3"/>
    <w:rsid w:val="328B6984"/>
    <w:rsid w:val="32B54566"/>
    <w:rsid w:val="32B605BF"/>
    <w:rsid w:val="32DB110D"/>
    <w:rsid w:val="32FB3FA8"/>
    <w:rsid w:val="33265EB1"/>
    <w:rsid w:val="33404A5B"/>
    <w:rsid w:val="33424F22"/>
    <w:rsid w:val="334528CA"/>
    <w:rsid w:val="334D2131"/>
    <w:rsid w:val="335260A3"/>
    <w:rsid w:val="335614CF"/>
    <w:rsid w:val="33877982"/>
    <w:rsid w:val="341714E9"/>
    <w:rsid w:val="34202A3C"/>
    <w:rsid w:val="344057F2"/>
    <w:rsid w:val="34441F8D"/>
    <w:rsid w:val="345D63A4"/>
    <w:rsid w:val="34777F6D"/>
    <w:rsid w:val="34807019"/>
    <w:rsid w:val="34873A5C"/>
    <w:rsid w:val="349F233E"/>
    <w:rsid w:val="34A0062A"/>
    <w:rsid w:val="34A252DA"/>
    <w:rsid w:val="34AC0153"/>
    <w:rsid w:val="34C44C99"/>
    <w:rsid w:val="34C9041C"/>
    <w:rsid w:val="34DD3161"/>
    <w:rsid w:val="34F277AF"/>
    <w:rsid w:val="34F8431E"/>
    <w:rsid w:val="34F86C65"/>
    <w:rsid w:val="352E1AEE"/>
    <w:rsid w:val="35375ED8"/>
    <w:rsid w:val="3540378F"/>
    <w:rsid w:val="35410CCD"/>
    <w:rsid w:val="35487054"/>
    <w:rsid w:val="354A3431"/>
    <w:rsid w:val="354E6723"/>
    <w:rsid w:val="35785F22"/>
    <w:rsid w:val="358856A2"/>
    <w:rsid w:val="35901AB7"/>
    <w:rsid w:val="35977693"/>
    <w:rsid w:val="359E1E1C"/>
    <w:rsid w:val="35A05E57"/>
    <w:rsid w:val="35C365E6"/>
    <w:rsid w:val="35EA38E5"/>
    <w:rsid w:val="36270212"/>
    <w:rsid w:val="363E7F03"/>
    <w:rsid w:val="3644167F"/>
    <w:rsid w:val="364C0B4A"/>
    <w:rsid w:val="36670355"/>
    <w:rsid w:val="3676199F"/>
    <w:rsid w:val="368362E0"/>
    <w:rsid w:val="368A544A"/>
    <w:rsid w:val="36B978C7"/>
    <w:rsid w:val="36DF5796"/>
    <w:rsid w:val="370276D6"/>
    <w:rsid w:val="3748158D"/>
    <w:rsid w:val="376B527C"/>
    <w:rsid w:val="378022C0"/>
    <w:rsid w:val="37840E40"/>
    <w:rsid w:val="37A44028"/>
    <w:rsid w:val="37AA07D2"/>
    <w:rsid w:val="37D21C51"/>
    <w:rsid w:val="37DD231E"/>
    <w:rsid w:val="37F65A4B"/>
    <w:rsid w:val="385505E5"/>
    <w:rsid w:val="38701C5D"/>
    <w:rsid w:val="3893559E"/>
    <w:rsid w:val="38C20B2E"/>
    <w:rsid w:val="38CC7F9C"/>
    <w:rsid w:val="38F302DE"/>
    <w:rsid w:val="390B0AC4"/>
    <w:rsid w:val="39142FB1"/>
    <w:rsid w:val="391A4B6E"/>
    <w:rsid w:val="39322124"/>
    <w:rsid w:val="394925BC"/>
    <w:rsid w:val="394A4C3B"/>
    <w:rsid w:val="39620592"/>
    <w:rsid w:val="396228D8"/>
    <w:rsid w:val="396E2E01"/>
    <w:rsid w:val="399C59E9"/>
    <w:rsid w:val="39AA42D6"/>
    <w:rsid w:val="39D24225"/>
    <w:rsid w:val="39F63B7A"/>
    <w:rsid w:val="3A126977"/>
    <w:rsid w:val="3A2432CF"/>
    <w:rsid w:val="3A325829"/>
    <w:rsid w:val="3A343ADA"/>
    <w:rsid w:val="3A3E252A"/>
    <w:rsid w:val="3A661D2A"/>
    <w:rsid w:val="3A6A181A"/>
    <w:rsid w:val="3A947B69"/>
    <w:rsid w:val="3AD81A2B"/>
    <w:rsid w:val="3B0A4329"/>
    <w:rsid w:val="3B292648"/>
    <w:rsid w:val="3B3F22C6"/>
    <w:rsid w:val="3B576C6C"/>
    <w:rsid w:val="3B716D99"/>
    <w:rsid w:val="3B941E92"/>
    <w:rsid w:val="3BA725FA"/>
    <w:rsid w:val="3BCE4BBE"/>
    <w:rsid w:val="3BCF6BF1"/>
    <w:rsid w:val="3BD20FAC"/>
    <w:rsid w:val="3BD75940"/>
    <w:rsid w:val="3BD776F8"/>
    <w:rsid w:val="3BFA51CD"/>
    <w:rsid w:val="3C10220A"/>
    <w:rsid w:val="3C131A3E"/>
    <w:rsid w:val="3C2E55CC"/>
    <w:rsid w:val="3C34554B"/>
    <w:rsid w:val="3C432DB6"/>
    <w:rsid w:val="3C5E6B93"/>
    <w:rsid w:val="3C5F3DF0"/>
    <w:rsid w:val="3C827132"/>
    <w:rsid w:val="3CB10DED"/>
    <w:rsid w:val="3CDC6043"/>
    <w:rsid w:val="3CDD431E"/>
    <w:rsid w:val="3D0315B0"/>
    <w:rsid w:val="3D3673FA"/>
    <w:rsid w:val="3D443931"/>
    <w:rsid w:val="3E032ABD"/>
    <w:rsid w:val="3E0B0FA8"/>
    <w:rsid w:val="3E0D29C8"/>
    <w:rsid w:val="3E1B7603"/>
    <w:rsid w:val="3E22782A"/>
    <w:rsid w:val="3E255611"/>
    <w:rsid w:val="3E5531A4"/>
    <w:rsid w:val="3E564C85"/>
    <w:rsid w:val="3E9E1A93"/>
    <w:rsid w:val="3E9F1D36"/>
    <w:rsid w:val="3EA5545D"/>
    <w:rsid w:val="3EA846E8"/>
    <w:rsid w:val="3EBC5573"/>
    <w:rsid w:val="3EEB0DB4"/>
    <w:rsid w:val="3EEC1F3C"/>
    <w:rsid w:val="3F22794D"/>
    <w:rsid w:val="3F3B19D7"/>
    <w:rsid w:val="3F3F0626"/>
    <w:rsid w:val="3F670343"/>
    <w:rsid w:val="3F736673"/>
    <w:rsid w:val="3F8F1F95"/>
    <w:rsid w:val="3FB1139A"/>
    <w:rsid w:val="3FB2368A"/>
    <w:rsid w:val="3FBC7CA5"/>
    <w:rsid w:val="3FD555D0"/>
    <w:rsid w:val="3FFD27EA"/>
    <w:rsid w:val="3FFD3710"/>
    <w:rsid w:val="400B75FC"/>
    <w:rsid w:val="4037219F"/>
    <w:rsid w:val="404C4B93"/>
    <w:rsid w:val="404D4C9A"/>
    <w:rsid w:val="40610FCA"/>
    <w:rsid w:val="40646FF5"/>
    <w:rsid w:val="40760B19"/>
    <w:rsid w:val="40763B34"/>
    <w:rsid w:val="4078152A"/>
    <w:rsid w:val="41083B3B"/>
    <w:rsid w:val="410E3FFA"/>
    <w:rsid w:val="411434DA"/>
    <w:rsid w:val="412E1D2A"/>
    <w:rsid w:val="41350BBA"/>
    <w:rsid w:val="413F4FF5"/>
    <w:rsid w:val="415648A7"/>
    <w:rsid w:val="417B3F50"/>
    <w:rsid w:val="41886A2A"/>
    <w:rsid w:val="419256D7"/>
    <w:rsid w:val="41947FB3"/>
    <w:rsid w:val="41CB0CBF"/>
    <w:rsid w:val="41E62B0C"/>
    <w:rsid w:val="422971D8"/>
    <w:rsid w:val="42B45012"/>
    <w:rsid w:val="42CD2946"/>
    <w:rsid w:val="42D6758B"/>
    <w:rsid w:val="42EA4C96"/>
    <w:rsid w:val="430A1DED"/>
    <w:rsid w:val="43444D4D"/>
    <w:rsid w:val="43585C80"/>
    <w:rsid w:val="436B7220"/>
    <w:rsid w:val="437A652A"/>
    <w:rsid w:val="439A3218"/>
    <w:rsid w:val="43B00A05"/>
    <w:rsid w:val="43B81900"/>
    <w:rsid w:val="43C845CF"/>
    <w:rsid w:val="43D17831"/>
    <w:rsid w:val="43DC4293"/>
    <w:rsid w:val="43DC6F0F"/>
    <w:rsid w:val="43DE0D30"/>
    <w:rsid w:val="44130575"/>
    <w:rsid w:val="441D4202"/>
    <w:rsid w:val="44352FC8"/>
    <w:rsid w:val="444B4E82"/>
    <w:rsid w:val="446A4930"/>
    <w:rsid w:val="446E1F07"/>
    <w:rsid w:val="44781916"/>
    <w:rsid w:val="44D51F86"/>
    <w:rsid w:val="4520275A"/>
    <w:rsid w:val="453F3065"/>
    <w:rsid w:val="45505A3D"/>
    <w:rsid w:val="458B498F"/>
    <w:rsid w:val="459453A0"/>
    <w:rsid w:val="45946113"/>
    <w:rsid w:val="459868AA"/>
    <w:rsid w:val="45D94333"/>
    <w:rsid w:val="45EE4868"/>
    <w:rsid w:val="45F832AA"/>
    <w:rsid w:val="46046CE7"/>
    <w:rsid w:val="460C7BB5"/>
    <w:rsid w:val="460E55DD"/>
    <w:rsid w:val="462F1A6E"/>
    <w:rsid w:val="464260A5"/>
    <w:rsid w:val="46525EE1"/>
    <w:rsid w:val="4659191C"/>
    <w:rsid w:val="465E2A06"/>
    <w:rsid w:val="466776E2"/>
    <w:rsid w:val="46713FAA"/>
    <w:rsid w:val="467813D7"/>
    <w:rsid w:val="468F56AB"/>
    <w:rsid w:val="469C2B5F"/>
    <w:rsid w:val="46D0054F"/>
    <w:rsid w:val="46DA024E"/>
    <w:rsid w:val="46DC2AE6"/>
    <w:rsid w:val="470A2EDA"/>
    <w:rsid w:val="47467726"/>
    <w:rsid w:val="47477880"/>
    <w:rsid w:val="4748457D"/>
    <w:rsid w:val="474C5379"/>
    <w:rsid w:val="475528E1"/>
    <w:rsid w:val="47583F97"/>
    <w:rsid w:val="476B3EEB"/>
    <w:rsid w:val="47947891"/>
    <w:rsid w:val="479D19EA"/>
    <w:rsid w:val="47CA38F8"/>
    <w:rsid w:val="47E32A44"/>
    <w:rsid w:val="48030BB8"/>
    <w:rsid w:val="481B5CA1"/>
    <w:rsid w:val="484A692B"/>
    <w:rsid w:val="4864233A"/>
    <w:rsid w:val="48671147"/>
    <w:rsid w:val="48AE355C"/>
    <w:rsid w:val="4924255B"/>
    <w:rsid w:val="492F386E"/>
    <w:rsid w:val="494D662E"/>
    <w:rsid w:val="495A5150"/>
    <w:rsid w:val="4990798C"/>
    <w:rsid w:val="499E328F"/>
    <w:rsid w:val="499E3420"/>
    <w:rsid w:val="49C12A7C"/>
    <w:rsid w:val="49E1679C"/>
    <w:rsid w:val="49EB7CD2"/>
    <w:rsid w:val="4A0C75BA"/>
    <w:rsid w:val="4A101B76"/>
    <w:rsid w:val="4A3855BE"/>
    <w:rsid w:val="4A7C28E0"/>
    <w:rsid w:val="4A877C61"/>
    <w:rsid w:val="4A8D07A0"/>
    <w:rsid w:val="4A931FC2"/>
    <w:rsid w:val="4A9C1863"/>
    <w:rsid w:val="4AAB09CB"/>
    <w:rsid w:val="4AB77AAC"/>
    <w:rsid w:val="4AC8265C"/>
    <w:rsid w:val="4AE341BF"/>
    <w:rsid w:val="4AEF3676"/>
    <w:rsid w:val="4AF173EE"/>
    <w:rsid w:val="4B011F0B"/>
    <w:rsid w:val="4B1B4610"/>
    <w:rsid w:val="4B636914"/>
    <w:rsid w:val="4B760B3E"/>
    <w:rsid w:val="4B8C6CCE"/>
    <w:rsid w:val="4B90799F"/>
    <w:rsid w:val="4BAF1783"/>
    <w:rsid w:val="4BFA22D2"/>
    <w:rsid w:val="4C02219B"/>
    <w:rsid w:val="4C170309"/>
    <w:rsid w:val="4C207508"/>
    <w:rsid w:val="4C581C45"/>
    <w:rsid w:val="4C75263B"/>
    <w:rsid w:val="4CCA7644"/>
    <w:rsid w:val="4CDD7C2A"/>
    <w:rsid w:val="4D1537E9"/>
    <w:rsid w:val="4D1832B6"/>
    <w:rsid w:val="4D301632"/>
    <w:rsid w:val="4D3C7046"/>
    <w:rsid w:val="4D841A04"/>
    <w:rsid w:val="4D956BBA"/>
    <w:rsid w:val="4D994BD8"/>
    <w:rsid w:val="4D9B6DCB"/>
    <w:rsid w:val="4DC70853"/>
    <w:rsid w:val="4DD317A2"/>
    <w:rsid w:val="4DFC67D6"/>
    <w:rsid w:val="4E052EA8"/>
    <w:rsid w:val="4E087FAC"/>
    <w:rsid w:val="4E0F143D"/>
    <w:rsid w:val="4E2E4164"/>
    <w:rsid w:val="4E4A21B0"/>
    <w:rsid w:val="4E6B0062"/>
    <w:rsid w:val="4EA3747C"/>
    <w:rsid w:val="4EA43623"/>
    <w:rsid w:val="4ED21CEB"/>
    <w:rsid w:val="4EE77716"/>
    <w:rsid w:val="4F1A25AD"/>
    <w:rsid w:val="4F2C5BB0"/>
    <w:rsid w:val="4F4F296F"/>
    <w:rsid w:val="4F511CD2"/>
    <w:rsid w:val="4F5265C5"/>
    <w:rsid w:val="4F535209"/>
    <w:rsid w:val="4F8B48DB"/>
    <w:rsid w:val="4F944685"/>
    <w:rsid w:val="4FA057AF"/>
    <w:rsid w:val="4FCC10F4"/>
    <w:rsid w:val="4FD7787B"/>
    <w:rsid w:val="4FFF4C90"/>
    <w:rsid w:val="50117B3B"/>
    <w:rsid w:val="503734DB"/>
    <w:rsid w:val="504A3CA9"/>
    <w:rsid w:val="504B57F2"/>
    <w:rsid w:val="50A83AFC"/>
    <w:rsid w:val="50B04A39"/>
    <w:rsid w:val="50B26307"/>
    <w:rsid w:val="50B76201"/>
    <w:rsid w:val="50DB42B0"/>
    <w:rsid w:val="510C0730"/>
    <w:rsid w:val="510F33AC"/>
    <w:rsid w:val="51131A4D"/>
    <w:rsid w:val="51167616"/>
    <w:rsid w:val="511D718F"/>
    <w:rsid w:val="5126535E"/>
    <w:rsid w:val="51283F24"/>
    <w:rsid w:val="514951D3"/>
    <w:rsid w:val="5153580B"/>
    <w:rsid w:val="515D549B"/>
    <w:rsid w:val="517364CA"/>
    <w:rsid w:val="51844B18"/>
    <w:rsid w:val="518B234A"/>
    <w:rsid w:val="518F10BB"/>
    <w:rsid w:val="51E3730F"/>
    <w:rsid w:val="51ED1A9A"/>
    <w:rsid w:val="51FD1211"/>
    <w:rsid w:val="525741FD"/>
    <w:rsid w:val="526D1981"/>
    <w:rsid w:val="52705CA9"/>
    <w:rsid w:val="5275501F"/>
    <w:rsid w:val="52797F9D"/>
    <w:rsid w:val="52933BFB"/>
    <w:rsid w:val="52B82B22"/>
    <w:rsid w:val="530B70D1"/>
    <w:rsid w:val="535A32C7"/>
    <w:rsid w:val="53655099"/>
    <w:rsid w:val="536E6570"/>
    <w:rsid w:val="537B678C"/>
    <w:rsid w:val="538A25EB"/>
    <w:rsid w:val="53E44024"/>
    <w:rsid w:val="54014B46"/>
    <w:rsid w:val="54330B09"/>
    <w:rsid w:val="543B2B99"/>
    <w:rsid w:val="544E2533"/>
    <w:rsid w:val="54576514"/>
    <w:rsid w:val="5463583A"/>
    <w:rsid w:val="548155DF"/>
    <w:rsid w:val="549537A4"/>
    <w:rsid w:val="54C82853"/>
    <w:rsid w:val="54C82F16"/>
    <w:rsid w:val="54CE1930"/>
    <w:rsid w:val="54F4174B"/>
    <w:rsid w:val="54F843AD"/>
    <w:rsid w:val="555467FF"/>
    <w:rsid w:val="555E0EE5"/>
    <w:rsid w:val="556E4C3C"/>
    <w:rsid w:val="55740D24"/>
    <w:rsid w:val="55F416EA"/>
    <w:rsid w:val="55F6348F"/>
    <w:rsid w:val="561B62A2"/>
    <w:rsid w:val="563A3D20"/>
    <w:rsid w:val="56510FA5"/>
    <w:rsid w:val="565763D6"/>
    <w:rsid w:val="566366F9"/>
    <w:rsid w:val="56666EE2"/>
    <w:rsid w:val="567027DE"/>
    <w:rsid w:val="56757E4E"/>
    <w:rsid w:val="567F61F6"/>
    <w:rsid w:val="56874E26"/>
    <w:rsid w:val="56A47F8D"/>
    <w:rsid w:val="56D455F1"/>
    <w:rsid w:val="56DB2C2D"/>
    <w:rsid w:val="56EB2722"/>
    <w:rsid w:val="56FE688C"/>
    <w:rsid w:val="57013F6B"/>
    <w:rsid w:val="5742757D"/>
    <w:rsid w:val="57435475"/>
    <w:rsid w:val="57580F21"/>
    <w:rsid w:val="575B52E7"/>
    <w:rsid w:val="57623B4D"/>
    <w:rsid w:val="576310AD"/>
    <w:rsid w:val="579775AF"/>
    <w:rsid w:val="579A1F5A"/>
    <w:rsid w:val="57C2283E"/>
    <w:rsid w:val="57E11E3C"/>
    <w:rsid w:val="57E5652D"/>
    <w:rsid w:val="57F66847"/>
    <w:rsid w:val="580573A0"/>
    <w:rsid w:val="581F4B46"/>
    <w:rsid w:val="58234B5C"/>
    <w:rsid w:val="58321C8B"/>
    <w:rsid w:val="58582A0B"/>
    <w:rsid w:val="585C4E6E"/>
    <w:rsid w:val="5875579D"/>
    <w:rsid w:val="5880529A"/>
    <w:rsid w:val="588B0ADD"/>
    <w:rsid w:val="58D80708"/>
    <w:rsid w:val="58DD4E4E"/>
    <w:rsid w:val="58E51672"/>
    <w:rsid w:val="58FF26D7"/>
    <w:rsid w:val="593705EE"/>
    <w:rsid w:val="594D2EB2"/>
    <w:rsid w:val="59965919"/>
    <w:rsid w:val="59A301AC"/>
    <w:rsid w:val="59E9604F"/>
    <w:rsid w:val="5A0272B1"/>
    <w:rsid w:val="5A102236"/>
    <w:rsid w:val="5A210542"/>
    <w:rsid w:val="5A221372"/>
    <w:rsid w:val="5A2B4CFE"/>
    <w:rsid w:val="5A382944"/>
    <w:rsid w:val="5A5F48DF"/>
    <w:rsid w:val="5A6811AC"/>
    <w:rsid w:val="5A6C4817"/>
    <w:rsid w:val="5A704A06"/>
    <w:rsid w:val="5AA248FD"/>
    <w:rsid w:val="5ABB079A"/>
    <w:rsid w:val="5AD24465"/>
    <w:rsid w:val="5AE21CEC"/>
    <w:rsid w:val="5AE44879"/>
    <w:rsid w:val="5AF078D1"/>
    <w:rsid w:val="5B022F52"/>
    <w:rsid w:val="5B0867BA"/>
    <w:rsid w:val="5B430127"/>
    <w:rsid w:val="5B8E4F44"/>
    <w:rsid w:val="5B9C5BD2"/>
    <w:rsid w:val="5BAE5416"/>
    <w:rsid w:val="5BCC1553"/>
    <w:rsid w:val="5BDC0ECD"/>
    <w:rsid w:val="5BE06819"/>
    <w:rsid w:val="5C1E6167"/>
    <w:rsid w:val="5C2B1B5E"/>
    <w:rsid w:val="5C397C41"/>
    <w:rsid w:val="5C4E46A0"/>
    <w:rsid w:val="5C672A9D"/>
    <w:rsid w:val="5C9257B5"/>
    <w:rsid w:val="5CA92B4D"/>
    <w:rsid w:val="5CAB1AF3"/>
    <w:rsid w:val="5CC82976"/>
    <w:rsid w:val="5CF16475"/>
    <w:rsid w:val="5CF93AE0"/>
    <w:rsid w:val="5D0631CD"/>
    <w:rsid w:val="5D105DFA"/>
    <w:rsid w:val="5D223C5B"/>
    <w:rsid w:val="5D226C62"/>
    <w:rsid w:val="5D4C2B41"/>
    <w:rsid w:val="5D866861"/>
    <w:rsid w:val="5D9718EE"/>
    <w:rsid w:val="5DAE1953"/>
    <w:rsid w:val="5DBE7A39"/>
    <w:rsid w:val="5DC15F8B"/>
    <w:rsid w:val="5DD5516E"/>
    <w:rsid w:val="5DE649B4"/>
    <w:rsid w:val="5DF136A3"/>
    <w:rsid w:val="5DFA26DB"/>
    <w:rsid w:val="5E0B0AD6"/>
    <w:rsid w:val="5E285DD7"/>
    <w:rsid w:val="5E3730B8"/>
    <w:rsid w:val="5E632348"/>
    <w:rsid w:val="5E7C3B11"/>
    <w:rsid w:val="5E8A1724"/>
    <w:rsid w:val="5E913EA8"/>
    <w:rsid w:val="5ECC6ED2"/>
    <w:rsid w:val="5ED56E00"/>
    <w:rsid w:val="5EFC7373"/>
    <w:rsid w:val="5F0674B4"/>
    <w:rsid w:val="5F16521D"/>
    <w:rsid w:val="5F5D176B"/>
    <w:rsid w:val="5F6A29BF"/>
    <w:rsid w:val="5F933D87"/>
    <w:rsid w:val="5F9A19AB"/>
    <w:rsid w:val="5FBD7995"/>
    <w:rsid w:val="5FC80794"/>
    <w:rsid w:val="5FD2516D"/>
    <w:rsid w:val="5FD5550A"/>
    <w:rsid w:val="5FFC0099"/>
    <w:rsid w:val="602826D5"/>
    <w:rsid w:val="60496758"/>
    <w:rsid w:val="609267D4"/>
    <w:rsid w:val="609C38F3"/>
    <w:rsid w:val="609F5D58"/>
    <w:rsid w:val="60B115FD"/>
    <w:rsid w:val="60B80DB8"/>
    <w:rsid w:val="60B92336"/>
    <w:rsid w:val="60C110F2"/>
    <w:rsid w:val="610572F8"/>
    <w:rsid w:val="611015E4"/>
    <w:rsid w:val="61521DCC"/>
    <w:rsid w:val="616D55C9"/>
    <w:rsid w:val="61857DC4"/>
    <w:rsid w:val="618B3CA1"/>
    <w:rsid w:val="618B617C"/>
    <w:rsid w:val="619B7808"/>
    <w:rsid w:val="61A312EF"/>
    <w:rsid w:val="61A5185E"/>
    <w:rsid w:val="62001846"/>
    <w:rsid w:val="623F04BA"/>
    <w:rsid w:val="625E7607"/>
    <w:rsid w:val="6269142E"/>
    <w:rsid w:val="626C3AD2"/>
    <w:rsid w:val="627672EC"/>
    <w:rsid w:val="627E0ED3"/>
    <w:rsid w:val="62856942"/>
    <w:rsid w:val="62A92A58"/>
    <w:rsid w:val="62CD7302"/>
    <w:rsid w:val="630346A8"/>
    <w:rsid w:val="63212B0F"/>
    <w:rsid w:val="632162B1"/>
    <w:rsid w:val="633635FA"/>
    <w:rsid w:val="633D2D9C"/>
    <w:rsid w:val="6347009B"/>
    <w:rsid w:val="63616F95"/>
    <w:rsid w:val="638A1AA7"/>
    <w:rsid w:val="63CF49F6"/>
    <w:rsid w:val="63E91153"/>
    <w:rsid w:val="63EE6769"/>
    <w:rsid w:val="63F460F1"/>
    <w:rsid w:val="63F90414"/>
    <w:rsid w:val="63FB1C97"/>
    <w:rsid w:val="64204D90"/>
    <w:rsid w:val="642C1431"/>
    <w:rsid w:val="64432611"/>
    <w:rsid w:val="64454352"/>
    <w:rsid w:val="644970D1"/>
    <w:rsid w:val="64550596"/>
    <w:rsid w:val="646A1867"/>
    <w:rsid w:val="647E318E"/>
    <w:rsid w:val="649A3992"/>
    <w:rsid w:val="649B4C85"/>
    <w:rsid w:val="64A00315"/>
    <w:rsid w:val="64AA6E77"/>
    <w:rsid w:val="64B843B7"/>
    <w:rsid w:val="64C80D68"/>
    <w:rsid w:val="65047CF3"/>
    <w:rsid w:val="651569E0"/>
    <w:rsid w:val="652C12F7"/>
    <w:rsid w:val="65372126"/>
    <w:rsid w:val="653A7EB8"/>
    <w:rsid w:val="654436B9"/>
    <w:rsid w:val="654A27C5"/>
    <w:rsid w:val="654F5C62"/>
    <w:rsid w:val="65524902"/>
    <w:rsid w:val="655D5F17"/>
    <w:rsid w:val="65763765"/>
    <w:rsid w:val="65764C68"/>
    <w:rsid w:val="6582725D"/>
    <w:rsid w:val="65851E77"/>
    <w:rsid w:val="65A74CE3"/>
    <w:rsid w:val="65DB77D9"/>
    <w:rsid w:val="660E0AD4"/>
    <w:rsid w:val="66215E2C"/>
    <w:rsid w:val="6635067F"/>
    <w:rsid w:val="663D3D65"/>
    <w:rsid w:val="665171D4"/>
    <w:rsid w:val="665369B0"/>
    <w:rsid w:val="665705F5"/>
    <w:rsid w:val="66640F36"/>
    <w:rsid w:val="66846F11"/>
    <w:rsid w:val="66B42533"/>
    <w:rsid w:val="66C16917"/>
    <w:rsid w:val="66DE5FA0"/>
    <w:rsid w:val="66F146C9"/>
    <w:rsid w:val="6703252B"/>
    <w:rsid w:val="67212E7F"/>
    <w:rsid w:val="67242BCD"/>
    <w:rsid w:val="67351399"/>
    <w:rsid w:val="673C5E27"/>
    <w:rsid w:val="67C57CC1"/>
    <w:rsid w:val="67D0452E"/>
    <w:rsid w:val="67D40F55"/>
    <w:rsid w:val="67DC6A1C"/>
    <w:rsid w:val="67E22987"/>
    <w:rsid w:val="67E3539F"/>
    <w:rsid w:val="67E73BFB"/>
    <w:rsid w:val="67EE0BF1"/>
    <w:rsid w:val="68011740"/>
    <w:rsid w:val="682254AB"/>
    <w:rsid w:val="684D060F"/>
    <w:rsid w:val="687059CE"/>
    <w:rsid w:val="687410CD"/>
    <w:rsid w:val="68795C73"/>
    <w:rsid w:val="687A5E9B"/>
    <w:rsid w:val="68815DFE"/>
    <w:rsid w:val="6887523D"/>
    <w:rsid w:val="688B707E"/>
    <w:rsid w:val="68A13DAA"/>
    <w:rsid w:val="68A8338A"/>
    <w:rsid w:val="68AD0478"/>
    <w:rsid w:val="68B5103C"/>
    <w:rsid w:val="68BB0096"/>
    <w:rsid w:val="68CB644C"/>
    <w:rsid w:val="69054339"/>
    <w:rsid w:val="692D388F"/>
    <w:rsid w:val="693626DD"/>
    <w:rsid w:val="699527B5"/>
    <w:rsid w:val="699B363D"/>
    <w:rsid w:val="699F2523"/>
    <w:rsid w:val="69A16971"/>
    <w:rsid w:val="69A35DAC"/>
    <w:rsid w:val="69A63E25"/>
    <w:rsid w:val="69C31BEF"/>
    <w:rsid w:val="69CD62F0"/>
    <w:rsid w:val="69D94546"/>
    <w:rsid w:val="69E71EB0"/>
    <w:rsid w:val="69F10D61"/>
    <w:rsid w:val="6A1F0A77"/>
    <w:rsid w:val="6A297B56"/>
    <w:rsid w:val="6A3D70B5"/>
    <w:rsid w:val="6A3E4E1A"/>
    <w:rsid w:val="6A547123"/>
    <w:rsid w:val="6A626230"/>
    <w:rsid w:val="6A78279D"/>
    <w:rsid w:val="6AA32E20"/>
    <w:rsid w:val="6AF05745"/>
    <w:rsid w:val="6B000F7C"/>
    <w:rsid w:val="6B393506"/>
    <w:rsid w:val="6B797260"/>
    <w:rsid w:val="6B872C08"/>
    <w:rsid w:val="6B983689"/>
    <w:rsid w:val="6BB81B36"/>
    <w:rsid w:val="6BBE673F"/>
    <w:rsid w:val="6C1D2B12"/>
    <w:rsid w:val="6C255CDF"/>
    <w:rsid w:val="6C353CDA"/>
    <w:rsid w:val="6C637984"/>
    <w:rsid w:val="6C7D20BE"/>
    <w:rsid w:val="6C941004"/>
    <w:rsid w:val="6CB6469F"/>
    <w:rsid w:val="6CEE4B95"/>
    <w:rsid w:val="6D1169F8"/>
    <w:rsid w:val="6D1E255B"/>
    <w:rsid w:val="6D3676EA"/>
    <w:rsid w:val="6D437A7E"/>
    <w:rsid w:val="6DBA7B5D"/>
    <w:rsid w:val="6DC742B3"/>
    <w:rsid w:val="6DE866D9"/>
    <w:rsid w:val="6DED6067"/>
    <w:rsid w:val="6E06698E"/>
    <w:rsid w:val="6E1457B7"/>
    <w:rsid w:val="6E1B7A14"/>
    <w:rsid w:val="6E1C12EB"/>
    <w:rsid w:val="6E21682C"/>
    <w:rsid w:val="6E3A33B0"/>
    <w:rsid w:val="6E3E5E60"/>
    <w:rsid w:val="6E8C2E06"/>
    <w:rsid w:val="6EA25B6B"/>
    <w:rsid w:val="6EBB6C64"/>
    <w:rsid w:val="6EC3626B"/>
    <w:rsid w:val="6ED77EEE"/>
    <w:rsid w:val="6EDA624A"/>
    <w:rsid w:val="6EEC0B65"/>
    <w:rsid w:val="6F16759D"/>
    <w:rsid w:val="6F280D81"/>
    <w:rsid w:val="6F4230D3"/>
    <w:rsid w:val="6F4354D6"/>
    <w:rsid w:val="6F54412A"/>
    <w:rsid w:val="6F8C7562"/>
    <w:rsid w:val="6FA4645F"/>
    <w:rsid w:val="6FAA79E8"/>
    <w:rsid w:val="6FB10853"/>
    <w:rsid w:val="6FE55444"/>
    <w:rsid w:val="6FED626A"/>
    <w:rsid w:val="6FEF29EC"/>
    <w:rsid w:val="701D0C3D"/>
    <w:rsid w:val="70217031"/>
    <w:rsid w:val="70286222"/>
    <w:rsid w:val="704C0A9F"/>
    <w:rsid w:val="705C3261"/>
    <w:rsid w:val="705F07D2"/>
    <w:rsid w:val="706411C2"/>
    <w:rsid w:val="706C06D6"/>
    <w:rsid w:val="706D2CD0"/>
    <w:rsid w:val="707930C3"/>
    <w:rsid w:val="707B4367"/>
    <w:rsid w:val="707E3A8B"/>
    <w:rsid w:val="709D5B77"/>
    <w:rsid w:val="70D1052B"/>
    <w:rsid w:val="70D1200B"/>
    <w:rsid w:val="70D57798"/>
    <w:rsid w:val="71044B32"/>
    <w:rsid w:val="71094EE1"/>
    <w:rsid w:val="711133F5"/>
    <w:rsid w:val="71245513"/>
    <w:rsid w:val="71261A4B"/>
    <w:rsid w:val="716303E5"/>
    <w:rsid w:val="717B6442"/>
    <w:rsid w:val="71896D6F"/>
    <w:rsid w:val="718F5CB0"/>
    <w:rsid w:val="71B11502"/>
    <w:rsid w:val="71BF565B"/>
    <w:rsid w:val="71C36028"/>
    <w:rsid w:val="71F44EA3"/>
    <w:rsid w:val="71F7127B"/>
    <w:rsid w:val="720A602E"/>
    <w:rsid w:val="720E1013"/>
    <w:rsid w:val="728B49D0"/>
    <w:rsid w:val="72DC0C8F"/>
    <w:rsid w:val="7306762B"/>
    <w:rsid w:val="73171E9E"/>
    <w:rsid w:val="731D6723"/>
    <w:rsid w:val="73634A7D"/>
    <w:rsid w:val="7377413B"/>
    <w:rsid w:val="738343C3"/>
    <w:rsid w:val="73916E24"/>
    <w:rsid w:val="73AB6B7E"/>
    <w:rsid w:val="73DD358C"/>
    <w:rsid w:val="73F87727"/>
    <w:rsid w:val="73FF0247"/>
    <w:rsid w:val="740775E9"/>
    <w:rsid w:val="7412722A"/>
    <w:rsid w:val="741E6BF6"/>
    <w:rsid w:val="742B44C5"/>
    <w:rsid w:val="74406B6D"/>
    <w:rsid w:val="74525630"/>
    <w:rsid w:val="745A2B8A"/>
    <w:rsid w:val="74C36E18"/>
    <w:rsid w:val="74DF09FB"/>
    <w:rsid w:val="74E13933"/>
    <w:rsid w:val="74E21D58"/>
    <w:rsid w:val="74EE481B"/>
    <w:rsid w:val="74F655EA"/>
    <w:rsid w:val="74F90FC6"/>
    <w:rsid w:val="74FF4FDE"/>
    <w:rsid w:val="75004E12"/>
    <w:rsid w:val="750122CC"/>
    <w:rsid w:val="753152EE"/>
    <w:rsid w:val="7544443B"/>
    <w:rsid w:val="75613DDA"/>
    <w:rsid w:val="7564688B"/>
    <w:rsid w:val="759247A9"/>
    <w:rsid w:val="75BA200F"/>
    <w:rsid w:val="75BC7564"/>
    <w:rsid w:val="75E86FC4"/>
    <w:rsid w:val="75EE59E0"/>
    <w:rsid w:val="75F25C45"/>
    <w:rsid w:val="75F927F2"/>
    <w:rsid w:val="762D0233"/>
    <w:rsid w:val="76353165"/>
    <w:rsid w:val="765B027E"/>
    <w:rsid w:val="766F6417"/>
    <w:rsid w:val="768A155C"/>
    <w:rsid w:val="76A63920"/>
    <w:rsid w:val="76B24050"/>
    <w:rsid w:val="76BD321C"/>
    <w:rsid w:val="76C361D8"/>
    <w:rsid w:val="76D61C49"/>
    <w:rsid w:val="76ED3601"/>
    <w:rsid w:val="775E33DC"/>
    <w:rsid w:val="776310AF"/>
    <w:rsid w:val="77636B63"/>
    <w:rsid w:val="777834BD"/>
    <w:rsid w:val="777F6AE2"/>
    <w:rsid w:val="779C2BA5"/>
    <w:rsid w:val="779E0502"/>
    <w:rsid w:val="77A70A31"/>
    <w:rsid w:val="77B21E06"/>
    <w:rsid w:val="77C77E2E"/>
    <w:rsid w:val="77F263D0"/>
    <w:rsid w:val="77F5439F"/>
    <w:rsid w:val="77F75794"/>
    <w:rsid w:val="77FA5292"/>
    <w:rsid w:val="78011469"/>
    <w:rsid w:val="78211F6B"/>
    <w:rsid w:val="78276B74"/>
    <w:rsid w:val="78964FAD"/>
    <w:rsid w:val="78A55961"/>
    <w:rsid w:val="78AD5398"/>
    <w:rsid w:val="78CB4665"/>
    <w:rsid w:val="792F1000"/>
    <w:rsid w:val="794D156B"/>
    <w:rsid w:val="79EA26CE"/>
    <w:rsid w:val="7A360E86"/>
    <w:rsid w:val="7A8D3FE6"/>
    <w:rsid w:val="7ABB6F4D"/>
    <w:rsid w:val="7AC2652D"/>
    <w:rsid w:val="7AE0471F"/>
    <w:rsid w:val="7AEB49B2"/>
    <w:rsid w:val="7AEE41F0"/>
    <w:rsid w:val="7AF62CB5"/>
    <w:rsid w:val="7B4E4CB6"/>
    <w:rsid w:val="7B5E2627"/>
    <w:rsid w:val="7B6018A2"/>
    <w:rsid w:val="7B95148A"/>
    <w:rsid w:val="7BA610F0"/>
    <w:rsid w:val="7BA62B3D"/>
    <w:rsid w:val="7BAE449F"/>
    <w:rsid w:val="7BB73F5F"/>
    <w:rsid w:val="7BBF57BE"/>
    <w:rsid w:val="7BCD6327"/>
    <w:rsid w:val="7C034B8B"/>
    <w:rsid w:val="7C093CE8"/>
    <w:rsid w:val="7C0F5007"/>
    <w:rsid w:val="7C246D2E"/>
    <w:rsid w:val="7C540844"/>
    <w:rsid w:val="7C6D36CA"/>
    <w:rsid w:val="7C824F1B"/>
    <w:rsid w:val="7C8C01AA"/>
    <w:rsid w:val="7C8D4639"/>
    <w:rsid w:val="7C8D66C7"/>
    <w:rsid w:val="7C9D1B23"/>
    <w:rsid w:val="7C9D7072"/>
    <w:rsid w:val="7CF15D44"/>
    <w:rsid w:val="7CF60376"/>
    <w:rsid w:val="7D0609BB"/>
    <w:rsid w:val="7D180F0D"/>
    <w:rsid w:val="7D240C48"/>
    <w:rsid w:val="7D423956"/>
    <w:rsid w:val="7D541F1D"/>
    <w:rsid w:val="7D7326CC"/>
    <w:rsid w:val="7D957F29"/>
    <w:rsid w:val="7DA31B55"/>
    <w:rsid w:val="7DD41A0F"/>
    <w:rsid w:val="7DDC1A7B"/>
    <w:rsid w:val="7DE20C95"/>
    <w:rsid w:val="7DED3159"/>
    <w:rsid w:val="7DEE7D58"/>
    <w:rsid w:val="7E162A33"/>
    <w:rsid w:val="7E254B3A"/>
    <w:rsid w:val="7E2C30CA"/>
    <w:rsid w:val="7E420EFD"/>
    <w:rsid w:val="7E663E3A"/>
    <w:rsid w:val="7E8C1FCF"/>
    <w:rsid w:val="7E924469"/>
    <w:rsid w:val="7EBC14B9"/>
    <w:rsid w:val="7EC54522"/>
    <w:rsid w:val="7ECF2E7C"/>
    <w:rsid w:val="7EF16182"/>
    <w:rsid w:val="7F1E0DC4"/>
    <w:rsid w:val="7F253E0B"/>
    <w:rsid w:val="7F2C21C7"/>
    <w:rsid w:val="7F3F7349"/>
    <w:rsid w:val="7F637BB3"/>
    <w:rsid w:val="7F8E34B9"/>
    <w:rsid w:val="7F9100D2"/>
    <w:rsid w:val="7FAF1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4"/>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customStyle="1" w:styleId="4">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5">
    <w:name w:val="Normal Indent"/>
    <w:basedOn w:val="1"/>
    <w:next w:val="6"/>
    <w:qFormat/>
    <w:uiPriority w:val="99"/>
    <w:pPr>
      <w:adjustRightInd w:val="0"/>
      <w:ind w:firstLine="420"/>
      <w:jc w:val="left"/>
    </w:pPr>
    <w:rPr>
      <w:kern w:val="0"/>
    </w:rPr>
  </w:style>
  <w:style w:type="paragraph" w:customStyle="1" w:styleId="6">
    <w:name w:val="表头"/>
    <w:basedOn w:val="7"/>
    <w:next w:val="1"/>
    <w:qFormat/>
    <w:uiPriority w:val="0"/>
    <w:pPr>
      <w:spacing w:beforeLines="50" w:line="460" w:lineRule="exact"/>
      <w:jc w:val="center"/>
    </w:pPr>
    <w:rPr>
      <w:rFonts w:eastAsia="仿宋_GB2312"/>
      <w:sz w:val="24"/>
      <w:lang w:val="zh-CN"/>
    </w:rPr>
  </w:style>
  <w:style w:type="paragraph" w:styleId="7">
    <w:name w:val="List"/>
    <w:basedOn w:val="1"/>
    <w:qFormat/>
    <w:uiPriority w:val="0"/>
    <w:pPr>
      <w:ind w:left="200" w:hanging="200" w:hangingChars="200"/>
      <w:contextualSpacing/>
    </w:pPr>
  </w:style>
  <w:style w:type="paragraph" w:styleId="8">
    <w:name w:val="toa heading"/>
    <w:basedOn w:val="1"/>
    <w:next w:val="1"/>
    <w:qFormat/>
    <w:uiPriority w:val="99"/>
    <w:pPr>
      <w:spacing w:before="120" w:line="360" w:lineRule="auto"/>
      <w:ind w:firstLine="200" w:firstLineChars="200"/>
      <w:jc w:val="left"/>
    </w:pPr>
    <w:rPr>
      <w:rFonts w:ascii="Arial" w:hAnsi="Arial" w:cs="Arial"/>
      <w:sz w:val="24"/>
    </w:rPr>
  </w:style>
  <w:style w:type="paragraph" w:styleId="9">
    <w:name w:val="annotation text"/>
    <w:basedOn w:val="1"/>
    <w:qFormat/>
    <w:uiPriority w:val="0"/>
    <w:pPr>
      <w:jc w:val="left"/>
    </w:pPr>
  </w:style>
  <w:style w:type="paragraph" w:styleId="10">
    <w:name w:val="Body Text"/>
    <w:basedOn w:val="1"/>
    <w:next w:val="1"/>
    <w:qFormat/>
    <w:uiPriority w:val="0"/>
    <w:pPr>
      <w:spacing w:after="120"/>
    </w:pPr>
    <w:rPr>
      <w:rFonts w:cs="Times New Roman"/>
      <w:kern w:val="0"/>
      <w:sz w:val="20"/>
      <w:szCs w:val="24"/>
    </w:rPr>
  </w:style>
  <w:style w:type="paragraph" w:styleId="11">
    <w:name w:val="Body Text Indent"/>
    <w:basedOn w:val="1"/>
    <w:next w:val="1"/>
    <w:unhideWhenUsed/>
    <w:qFormat/>
    <w:uiPriority w:val="99"/>
    <w:pPr>
      <w:spacing w:after="120"/>
      <w:ind w:left="420" w:leftChars="200"/>
    </w:pPr>
  </w:style>
  <w:style w:type="paragraph" w:styleId="12">
    <w:name w:val="Plain Text"/>
    <w:basedOn w:val="1"/>
    <w:qFormat/>
    <w:uiPriority w:val="0"/>
    <w:rPr>
      <w:rFonts w:ascii="宋体" w:hAnsi="Courier New"/>
      <w:kern w:val="16"/>
      <w:szCs w:val="21"/>
      <w:vertAlign w:val="superscript"/>
    </w:rPr>
  </w:style>
  <w:style w:type="paragraph" w:styleId="13">
    <w:name w:val="Body Text Indent 2"/>
    <w:basedOn w:val="1"/>
    <w:next w:val="14"/>
    <w:qFormat/>
    <w:uiPriority w:val="99"/>
    <w:pPr>
      <w:spacing w:before="100" w:beforeAutospacing="1" w:after="120" w:line="480" w:lineRule="auto"/>
      <w:ind w:left="200" w:leftChars="200"/>
    </w:pPr>
    <w:rPr>
      <w:sz w:val="21"/>
      <w:szCs w:val="21"/>
    </w:rPr>
  </w:style>
  <w:style w:type="paragraph" w:customStyle="1" w:styleId="14">
    <w:name w:val="简单回函地址"/>
    <w:basedOn w:val="1"/>
    <w:next w:val="15"/>
    <w:qFormat/>
    <w:uiPriority w:val="0"/>
    <w:pPr>
      <w:widowControl/>
    </w:pPr>
    <w:rPr>
      <w:rFonts w:ascii="宋体" w:hAnsi="宋体" w:cs="宋体"/>
      <w:kern w:val="0"/>
      <w:szCs w:val="20"/>
    </w:rPr>
  </w:style>
  <w:style w:type="paragraph" w:customStyle="1" w:styleId="15">
    <w:name w:val="正文2"/>
    <w:basedOn w:val="11"/>
    <w:next w:val="1"/>
    <w:qFormat/>
    <w:uiPriority w:val="0"/>
    <w:pPr>
      <w:widowControl/>
      <w:spacing w:line="312" w:lineRule="auto"/>
      <w:ind w:firstLine="200" w:firstLineChars="200"/>
    </w:pPr>
    <w:rPr>
      <w:rFonts w:ascii="Times New Roman" w:hAnsi="Times New Roman"/>
      <w:sz w:val="24"/>
    </w:rPr>
  </w:style>
  <w:style w:type="paragraph" w:styleId="16">
    <w:name w:val="footer"/>
    <w:basedOn w:val="1"/>
    <w:unhideWhenUsed/>
    <w:qFormat/>
    <w:uiPriority w:val="99"/>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9">
    <w:name w:val="Body Text First Indent 2"/>
    <w:basedOn w:val="11"/>
    <w:next w:val="1"/>
    <w:unhideWhenUsed/>
    <w:qFormat/>
    <w:uiPriority w:val="99"/>
    <w:pPr>
      <w:widowControl/>
      <w:ind w:firstLine="420" w:firstLineChars="200"/>
      <w:jc w:val="left"/>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Emphasis"/>
    <w:basedOn w:val="22"/>
    <w:qFormat/>
    <w:uiPriority w:val="0"/>
    <w:rPr>
      <w:i/>
    </w:rPr>
  </w:style>
  <w:style w:type="paragraph" w:customStyle="1" w:styleId="24">
    <w:name w:val="正文首行缩进2个字 Char"/>
    <w:basedOn w:val="1"/>
    <w:qFormat/>
    <w:uiPriority w:val="99"/>
    <w:pPr>
      <w:ind w:firstLine="480" w:firstLineChars="200"/>
    </w:pPr>
    <w:rPr>
      <w:rFonts w:ascii="Calibri" w:hAnsi="Calibri" w:eastAsia="楷体" w:cs="Calibri"/>
    </w:rPr>
  </w:style>
  <w:style w:type="paragraph" w:customStyle="1" w:styleId="25">
    <w:name w:val="正文样式"/>
    <w:basedOn w:val="1"/>
    <w:qFormat/>
    <w:uiPriority w:val="0"/>
    <w:pPr>
      <w:widowControl w:val="0"/>
      <w:tabs>
        <w:tab w:val="left" w:pos="1440"/>
        <w:tab w:val="left" w:pos="4368"/>
      </w:tabs>
      <w:adjustRightInd/>
      <w:snapToGrid/>
      <w:ind w:firstLine="493" w:firstLineChars="0"/>
    </w:pPr>
    <w:rPr>
      <w:color w:val="FF0000"/>
      <w:szCs w:val="24"/>
    </w:rPr>
  </w:style>
  <w:style w:type="paragraph" w:customStyle="1" w:styleId="2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7">
    <w:name w:val="表格文字"/>
    <w:basedOn w:val="1"/>
    <w:next w:val="1"/>
    <w:qFormat/>
    <w:uiPriority w:val="99"/>
    <w:pPr>
      <w:jc w:val="center"/>
    </w:pPr>
    <w:rPr>
      <w:rFonts w:ascii="仿宋_GB2312" w:hAnsi="Arial Black" w:eastAsia="仿宋_GB2312"/>
      <w:kern w:val="44"/>
    </w:rPr>
  </w:style>
  <w:style w:type="paragraph" w:customStyle="1" w:styleId="28">
    <w:name w:val="章节目录"/>
    <w:basedOn w:val="1"/>
    <w:qFormat/>
    <w:uiPriority w:val="0"/>
    <w:pPr>
      <w:spacing w:line="360" w:lineRule="auto"/>
      <w:outlineLvl w:val="0"/>
    </w:pPr>
    <w:rPr>
      <w:b/>
      <w:sz w:val="28"/>
      <w:szCs w:val="28"/>
    </w:rPr>
  </w:style>
  <w:style w:type="paragraph" w:customStyle="1" w:styleId="29">
    <w:name w:val="Table Paragraph"/>
    <w:basedOn w:val="1"/>
    <w:qFormat/>
    <w:uiPriority w:val="0"/>
    <w:rPr>
      <w:rFonts w:cs="Times New Roman"/>
    </w:rPr>
  </w:style>
  <w:style w:type="paragraph" w:customStyle="1" w:styleId="30">
    <w:name w:val="表格首行"/>
    <w:basedOn w:val="1"/>
    <w:next w:val="1"/>
    <w:qFormat/>
    <w:uiPriority w:val="0"/>
    <w:pPr>
      <w:jc w:val="center"/>
    </w:pPr>
    <w:rPr>
      <w:rFonts w:cs="宋体"/>
      <w:b/>
      <w:szCs w:val="20"/>
    </w:rPr>
  </w:style>
  <w:style w:type="paragraph" w:customStyle="1" w:styleId="31">
    <w:name w:val="表格内容"/>
    <w:basedOn w:val="1"/>
    <w:next w:val="3"/>
    <w:qFormat/>
    <w:uiPriority w:val="0"/>
    <w:pPr>
      <w:jc w:val="center"/>
    </w:pPr>
    <w:rPr>
      <w:rFonts w:eastAsia="Times New Roman"/>
      <w:szCs w:val="21"/>
    </w:rPr>
  </w:style>
  <w:style w:type="paragraph" w:customStyle="1" w:styleId="32">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33">
    <w:name w:val="正文-欣欣"/>
    <w:basedOn w:val="1"/>
    <w:next w:val="1"/>
    <w:qFormat/>
    <w:uiPriority w:val="0"/>
    <w:pPr>
      <w:spacing w:line="360" w:lineRule="auto"/>
      <w:ind w:firstLine="480" w:firstLineChars="200"/>
    </w:pPr>
    <w:rPr>
      <w:bCs/>
      <w:sz w:val="24"/>
    </w:rPr>
  </w:style>
  <w:style w:type="paragraph" w:customStyle="1" w:styleId="34">
    <w:name w:val="表格"/>
    <w:basedOn w:val="1"/>
    <w:next w:val="1"/>
    <w:qFormat/>
    <w:uiPriority w:val="0"/>
    <w:pPr>
      <w:jc w:val="center"/>
    </w:pPr>
    <w:rPr>
      <w:szCs w:val="21"/>
    </w:rPr>
  </w:style>
  <w:style w:type="paragraph" w:customStyle="1" w:styleId="35">
    <w:name w:val="rpt_表项"/>
    <w:basedOn w:val="1"/>
    <w:qFormat/>
    <w:uiPriority w:val="0"/>
    <w:pPr>
      <w:spacing w:before="60" w:after="60"/>
      <w:jc w:val="center"/>
    </w:pPr>
    <w:rPr>
      <w:rFonts w:cs="宋体"/>
      <w:sz w:val="22"/>
      <w:szCs w:val="20"/>
    </w:rPr>
  </w:style>
  <w:style w:type="character" w:customStyle="1" w:styleId="36">
    <w:name w:val="font61"/>
    <w:basedOn w:val="22"/>
    <w:qFormat/>
    <w:uiPriority w:val="0"/>
    <w:rPr>
      <w:rFonts w:hint="default" w:ascii="Times New Roman" w:hAnsi="Times New Roman" w:cs="Times New Roman"/>
      <w:color w:val="000000"/>
      <w:sz w:val="21"/>
      <w:szCs w:val="21"/>
      <w:u w:val="none"/>
      <w:vertAlign w:val="superscript"/>
    </w:rPr>
  </w:style>
  <w:style w:type="paragraph" w:customStyle="1" w:styleId="3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38">
    <w:name w:val="Table Grid_0"/>
    <w:basedOn w:val="2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列出段落1"/>
    <w:basedOn w:val="1"/>
    <w:qFormat/>
    <w:uiPriority w:val="34"/>
    <w:pPr>
      <w:ind w:firstLine="420" w:firstLineChars="200"/>
    </w:pPr>
    <w:rPr>
      <w:szCs w:val="22"/>
    </w:rPr>
  </w:style>
  <w:style w:type="paragraph" w:customStyle="1" w:styleId="40">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character" w:customStyle="1" w:styleId="41">
    <w:name w:val="font51"/>
    <w:basedOn w:val="22"/>
    <w:qFormat/>
    <w:uiPriority w:val="0"/>
    <w:rPr>
      <w:rFonts w:hint="eastAsia" w:ascii="宋体" w:hAnsi="宋体" w:eastAsia="宋体" w:cs="宋体"/>
      <w:color w:val="0000FF"/>
      <w:sz w:val="21"/>
      <w:szCs w:val="21"/>
      <w:u w:val="none"/>
    </w:rPr>
  </w:style>
  <w:style w:type="character" w:customStyle="1" w:styleId="42">
    <w:name w:val="font41"/>
    <w:basedOn w:val="22"/>
    <w:qFormat/>
    <w:uiPriority w:val="0"/>
    <w:rPr>
      <w:rFonts w:hint="default" w:ascii="Times New Roman" w:hAnsi="Times New Roman" w:cs="Times New Roman"/>
      <w:color w:val="0000FF"/>
      <w:sz w:val="21"/>
      <w:szCs w:val="21"/>
      <w:u w:val="none"/>
    </w:rPr>
  </w:style>
  <w:style w:type="character" w:customStyle="1" w:styleId="43">
    <w:name w:val="font01"/>
    <w:basedOn w:val="22"/>
    <w:qFormat/>
    <w:uiPriority w:val="0"/>
    <w:rPr>
      <w:rFonts w:hint="eastAsia" w:ascii="宋体" w:hAnsi="宋体" w:eastAsia="宋体" w:cs="宋体"/>
      <w:color w:val="000000"/>
      <w:sz w:val="21"/>
      <w:szCs w:val="21"/>
      <w:u w:val="none"/>
    </w:rPr>
  </w:style>
  <w:style w:type="character" w:customStyle="1" w:styleId="44">
    <w:name w:val="font11"/>
    <w:basedOn w:val="22"/>
    <w:qFormat/>
    <w:uiPriority w:val="0"/>
    <w:rPr>
      <w:rFonts w:hint="default" w:ascii="Times New Roman" w:hAnsi="Times New Roman" w:cs="Times New Roman"/>
      <w:color w:val="000000"/>
      <w:sz w:val="21"/>
      <w:szCs w:val="21"/>
      <w:u w:val="none"/>
    </w:rPr>
  </w:style>
  <w:style w:type="paragraph" w:customStyle="1" w:styleId="45">
    <w:name w:val="样式 正文缩进正文缩进2正文缩进 Char Char正文缩进 Char Char Char Char正文缩进 Char ..."/>
    <w:basedOn w:val="5"/>
    <w:qFormat/>
    <w:uiPriority w:val="0"/>
    <w:pPr>
      <w:spacing w:line="240" w:lineRule="auto"/>
      <w:ind w:firstLine="200" w:firstLineChars="200"/>
    </w:pPr>
    <w:rPr>
      <w:rFonts w:ascii="Times New Roman" w:cs="宋体"/>
      <w:sz w:val="21"/>
      <w:szCs w:val="2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5.wmf"/><Relationship Id="rId27" Type="http://schemas.openxmlformats.org/officeDocument/2006/relationships/oleObject" Target="embeddings/oleObject9.bin"/><Relationship Id="rId26" Type="http://schemas.openxmlformats.org/officeDocument/2006/relationships/image" Target="media/image14.wmf"/><Relationship Id="rId25" Type="http://schemas.openxmlformats.org/officeDocument/2006/relationships/oleObject" Target="embeddings/oleObject8.bin"/><Relationship Id="rId24" Type="http://schemas.openxmlformats.org/officeDocument/2006/relationships/image" Target="media/image13.emf"/><Relationship Id="rId23" Type="http://schemas.openxmlformats.org/officeDocument/2006/relationships/oleObject" Target="embeddings/oleObject7.bin"/><Relationship Id="rId22" Type="http://schemas.openxmlformats.org/officeDocument/2006/relationships/image" Target="media/image12.jpeg"/><Relationship Id="rId21" Type="http://schemas.openxmlformats.org/officeDocument/2006/relationships/image" Target="media/image11.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5.bin"/><Relationship Id="rId17" Type="http://schemas.openxmlformats.org/officeDocument/2006/relationships/image" Target="media/image9.emf"/><Relationship Id="rId16" Type="http://schemas.openxmlformats.org/officeDocument/2006/relationships/oleObject" Target="embeddings/oleObject4.bin"/><Relationship Id="rId15" Type="http://schemas.openxmlformats.org/officeDocument/2006/relationships/image" Target="media/image8.emf"/><Relationship Id="rId14" Type="http://schemas.openxmlformats.org/officeDocument/2006/relationships/oleObject" Target="embeddings/oleObject3.bin"/><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56144</Words>
  <Characters>62532</Characters>
  <Lines>0</Lines>
  <Paragraphs>0</Paragraphs>
  <TotalTime>5</TotalTime>
  <ScaleCrop>false</ScaleCrop>
  <LinksUpToDate>false</LinksUpToDate>
  <CharactersWithSpaces>62806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2022-05-21T08:12:00Z</dcterms:created>
  <dc:creator>Administrator</dc:creator>
  <cp:lastModifiedBy>Administrator</cp:lastModifiedBy>
  <cp:lastPrinted>2023-11-06T02:43:00Z</cp:lastPrinted>
  <dcterms:modified xsi:type="dcterms:W3CDTF">2024-01-24T02:43:48Z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CC44BC8CE1734940BF634BBA603DFD37_13</vt:lpwstr>
  </property>
</Properties>
</file>