
<file path=[Content_Types].xml><?xml version="1.0" encoding="utf-8"?>
<Types xmlns="http://schemas.openxmlformats.org/package/2006/content-types">
  <Default Extension="xml" ContentType="application/xml"/>
  <Default Extension="xlsx" ContentType="application/vnd.openxmlformats-officedocument.spreadsheetml.sheet"/>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hint="eastAsia" w:ascii="方正小标宋简体" w:hAnsi="方正小标宋简体" w:eastAsia="方正小标宋简体" w:cs="方正小标宋简体"/>
          <w:color w:val="000000"/>
          <w:sz w:val="72"/>
          <w:szCs w:val="72"/>
        </w:rPr>
      </w:pPr>
      <w:bookmarkStart w:id="1" w:name="_Toc15377425"/>
      <w:bookmarkStart w:id="2" w:name="_Toc15396597"/>
      <w:bookmarkStart w:id="3" w:name="_Toc15396475"/>
      <w:bookmarkStart w:id="4" w:name="_Toc23233"/>
      <w:bookmarkStart w:id="5" w:name="_Toc15378441"/>
      <w:bookmarkStart w:id="6" w:name="_Toc15377193"/>
      <w:r>
        <w:rPr>
          <w:rFonts w:hint="eastAsia" w:ascii="方正小标宋简体" w:hAnsi="方正小标宋简体" w:eastAsia="方正小标宋简体" w:cs="方正小标宋简体"/>
          <w:color w:val="000000"/>
          <w:sz w:val="72"/>
          <w:szCs w:val="72"/>
        </w:rPr>
        <w:t>2019年度</w:t>
      </w:r>
      <w:bookmarkEnd w:id="1"/>
      <w:bookmarkEnd w:id="2"/>
      <w:bookmarkEnd w:id="3"/>
      <w:bookmarkEnd w:id="4"/>
      <w:bookmarkEnd w:id="5"/>
      <w:bookmarkEnd w:id="6"/>
    </w:p>
    <w:bookmarkEnd w:id="0"/>
    <w:p>
      <w:pPr>
        <w:adjustRightInd w:val="0"/>
        <w:snapToGrid w:val="0"/>
        <w:spacing w:line="360" w:lineRule="auto"/>
        <w:jc w:val="center"/>
        <w:outlineLvl w:val="0"/>
        <w:rPr>
          <w:rFonts w:hint="eastAsia" w:ascii="方正小标宋简体" w:hAnsi="方正小标宋简体" w:eastAsia="方正小标宋简体" w:cs="方正小标宋简体"/>
          <w:color w:val="000000"/>
          <w:sz w:val="72"/>
          <w:szCs w:val="72"/>
        </w:rPr>
      </w:pPr>
      <w:bookmarkStart w:id="7" w:name="_Toc3024"/>
      <w:bookmarkStart w:id="8" w:name="_Toc15396598"/>
      <w:bookmarkStart w:id="9" w:name="_Toc15396476"/>
      <w:bookmarkStart w:id="10" w:name="_Toc15377426"/>
      <w:bookmarkStart w:id="11" w:name="_Toc15377194"/>
      <w:bookmarkStart w:id="12" w:name="_Toc15378442"/>
      <w:r>
        <w:rPr>
          <w:rFonts w:hint="eastAsia" w:ascii="方正小标宋简体" w:hAnsi="方正小标宋简体" w:eastAsia="方正小标宋简体" w:cs="方正小标宋简体"/>
          <w:color w:val="000000"/>
          <w:sz w:val="72"/>
          <w:szCs w:val="72"/>
        </w:rPr>
        <w:t>四川省</w:t>
      </w:r>
      <w:bookmarkStart w:id="13" w:name="_Toc15306268"/>
      <w:r>
        <w:rPr>
          <w:rFonts w:hint="eastAsia" w:ascii="方正小标宋简体" w:hAnsi="方正小标宋简体" w:eastAsia="方正小标宋简体" w:cs="方正小标宋简体"/>
          <w:color w:val="000000"/>
          <w:sz w:val="72"/>
          <w:szCs w:val="72"/>
          <w:lang w:eastAsia="zh-CN"/>
        </w:rPr>
        <w:t>达州市</w:t>
      </w:r>
      <w:r>
        <w:rPr>
          <w:rFonts w:hint="eastAsia" w:ascii="方正小标宋简体" w:hAnsi="方正小标宋简体" w:eastAsia="方正小标宋简体" w:cs="方正小标宋简体"/>
          <w:color w:val="000000"/>
          <w:sz w:val="72"/>
          <w:szCs w:val="72"/>
        </w:rPr>
        <w:t>宣汉县</w:t>
      </w:r>
    </w:p>
    <w:p>
      <w:pPr>
        <w:adjustRightInd w:val="0"/>
        <w:snapToGrid w:val="0"/>
        <w:spacing w:line="360" w:lineRule="auto"/>
        <w:jc w:val="center"/>
        <w:outlineLvl w:val="0"/>
        <w:rPr>
          <w:rFonts w:hint="eastAsia" w:ascii="黑体" w:hAnsi="黑体" w:eastAsia="黑体"/>
          <w:color w:val="000000"/>
          <w:sz w:val="72"/>
          <w:szCs w:val="72"/>
        </w:rPr>
      </w:pPr>
      <w:r>
        <w:rPr>
          <w:rFonts w:hint="eastAsia" w:ascii="方正小标宋简体" w:hAnsi="方正小标宋简体" w:eastAsia="方正小标宋简体" w:cs="方正小标宋简体"/>
          <w:color w:val="000000"/>
          <w:sz w:val="72"/>
          <w:szCs w:val="72"/>
        </w:rPr>
        <w:t>桃花镇人民政府部门决算</w:t>
      </w:r>
      <w:bookmarkEnd w:id="7"/>
      <w:bookmarkEnd w:id="8"/>
      <w:bookmarkEnd w:id="9"/>
      <w:bookmarkEnd w:id="10"/>
      <w:bookmarkEnd w:id="11"/>
      <w:bookmarkEnd w:id="12"/>
      <w:bookmarkEnd w:id="13"/>
    </w:p>
    <w:p>
      <w:pPr>
        <w:adjustRightInd w:val="0"/>
        <w:snapToGrid w:val="0"/>
        <w:spacing w:line="360" w:lineRule="auto"/>
        <w:jc w:val="center"/>
        <w:outlineLvl w:val="0"/>
        <w:rPr>
          <w:rFonts w:hint="eastAsia" w:ascii="黑体" w:hAnsi="黑体" w:eastAsia="黑体"/>
          <w:color w:val="000000"/>
          <w:sz w:val="72"/>
          <w:szCs w:val="72"/>
        </w:rPr>
      </w:pPr>
    </w:p>
    <w:p>
      <w:pPr>
        <w:adjustRightInd w:val="0"/>
        <w:snapToGrid w:val="0"/>
        <w:spacing w:line="360" w:lineRule="auto"/>
        <w:jc w:val="center"/>
        <w:outlineLvl w:val="0"/>
        <w:rPr>
          <w:rFonts w:hint="eastAsia" w:ascii="黑体" w:hAnsi="黑体" w:eastAsia="黑体"/>
          <w:color w:val="000000"/>
          <w:sz w:val="72"/>
          <w:szCs w:val="72"/>
        </w:rPr>
      </w:pPr>
    </w:p>
    <w:p>
      <w:pPr>
        <w:adjustRightInd w:val="0"/>
        <w:snapToGrid w:val="0"/>
        <w:spacing w:line="360" w:lineRule="auto"/>
        <w:jc w:val="center"/>
        <w:outlineLvl w:val="0"/>
        <w:rPr>
          <w:rFonts w:hint="eastAsia" w:ascii="黑体" w:hAnsi="黑体" w:eastAsia="黑体"/>
          <w:color w:val="000000"/>
          <w:sz w:val="72"/>
          <w:szCs w:val="72"/>
        </w:rPr>
      </w:pPr>
    </w:p>
    <w:p>
      <w:pPr>
        <w:adjustRightInd w:val="0"/>
        <w:snapToGrid w:val="0"/>
        <w:spacing w:line="360" w:lineRule="auto"/>
        <w:jc w:val="both"/>
        <w:outlineLvl w:val="0"/>
        <w:rPr>
          <w:rFonts w:hint="eastAsia" w:ascii="黑体" w:hAnsi="黑体" w:eastAsia="黑体"/>
          <w:color w:val="000000"/>
          <w:sz w:val="48"/>
          <w:szCs w:val="48"/>
        </w:rPr>
      </w:pPr>
    </w:p>
    <w:p>
      <w:pPr>
        <w:widowControl/>
        <w:jc w:val="both"/>
        <w:rPr>
          <w:rFonts w:hint="eastAsia" w:ascii="仿宋" w:hAnsi="仿宋" w:eastAsia="仿宋"/>
          <w:bCs/>
          <w:kern w:val="44"/>
          <w:sz w:val="24"/>
          <w:lang w:eastAsia="zh-CN"/>
        </w:rPr>
      </w:pPr>
      <w:bookmarkStart w:id="14" w:name="_Toc15377196"/>
      <w:bookmarkStart w:id="15" w:name="_Toc15396599"/>
    </w:p>
    <w:sdt>
      <w:sdtPr>
        <w:rPr>
          <w:rFonts w:ascii="宋体" w:hAnsi="宋体" w:eastAsia="宋体" w:cs="Times New Roman"/>
          <w:kern w:val="2"/>
          <w:sz w:val="21"/>
          <w:szCs w:val="24"/>
          <w:lang w:val="en-US" w:eastAsia="zh-CN" w:bidi="ar-SA"/>
        </w:rPr>
        <w:id w:val="147459027"/>
        <w15:color w:val="DBDBDB"/>
        <w:docPartObj>
          <w:docPartGallery w:val="Table of Contents"/>
          <w:docPartUnique/>
        </w:docPartObj>
      </w:sdtPr>
      <w:sdtEndPr>
        <w:rPr>
          <w:rFonts w:ascii="宋体" w:hAnsi="宋体" w:eastAsia="宋体" w:cs="Times New Roman"/>
          <w:kern w:val="2"/>
          <w:sz w:val="21"/>
          <w:szCs w:val="24"/>
          <w:lang w:val="en-US" w:eastAsia="zh-CN" w:bidi="ar-SA"/>
        </w:rPr>
      </w:sdtEndPr>
      <w:sdtContent>
        <w:p>
          <w:pPr>
            <w:spacing w:before="0" w:beforeLines="0" w:after="0" w:afterLines="0" w:line="240" w:lineRule="auto"/>
            <w:ind w:left="0" w:leftChars="0" w:right="0" w:rightChars="0" w:firstLine="0" w:firstLineChars="0"/>
            <w:jc w:val="center"/>
            <w:rPr>
              <w:rFonts w:hint="eastAsia" w:asciiTheme="minorEastAsia" w:hAnsiTheme="minorEastAsia" w:eastAsiaTheme="minorEastAsia" w:cstheme="minorEastAsia"/>
              <w:sz w:val="44"/>
              <w:szCs w:val="44"/>
            </w:rPr>
          </w:pPr>
          <w:r>
            <w:rPr>
              <w:rFonts w:hint="eastAsia" w:asciiTheme="minorEastAsia" w:hAnsiTheme="minorEastAsia" w:eastAsiaTheme="minorEastAsia" w:cstheme="minorEastAsia"/>
              <w:b/>
              <w:bCs/>
              <w:sz w:val="44"/>
              <w:szCs w:val="44"/>
            </w:rPr>
            <w:t>目录</w:t>
          </w:r>
        </w:p>
        <w:p>
          <w:pPr>
            <w:spacing w:before="0" w:beforeLines="0" w:after="0" w:afterLines="0" w:line="240" w:lineRule="auto"/>
            <w:ind w:left="0" w:leftChars="0" w:right="0" w:rightChars="0" w:firstLine="0" w:firstLineChars="0"/>
            <w:jc w:val="center"/>
            <w:rPr>
              <w:rFonts w:hint="eastAsia" w:asciiTheme="minorEastAsia" w:hAnsiTheme="minorEastAsia" w:eastAsiaTheme="minorEastAsia" w:cstheme="minorEastAsia"/>
              <w:sz w:val="44"/>
              <w:szCs w:val="44"/>
            </w:rPr>
          </w:pPr>
          <w:r>
            <w:rPr>
              <w:rFonts w:hint="eastAsia" w:asciiTheme="minorEastAsia" w:hAnsiTheme="minorEastAsia" w:eastAsiaTheme="minorEastAsia" w:cstheme="minorEastAsia"/>
              <w:sz w:val="30"/>
              <w:szCs w:val="30"/>
            </w:rPr>
            <w:t>公开时间：2020年11月12日</w:t>
          </w:r>
        </w:p>
        <w:p>
          <w:pPr>
            <w:pStyle w:val="10"/>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TOC \o "1-3" \h \u </w:instrText>
          </w:r>
          <w:r>
            <w:rPr>
              <w:rFonts w:hint="eastAsia" w:asciiTheme="minorEastAsia" w:hAnsiTheme="minorEastAsia" w:eastAsiaTheme="minorEastAsia" w:cstheme="minorEastAsia"/>
              <w:sz w:val="30"/>
              <w:szCs w:val="30"/>
            </w:rPr>
            <w:fldChar w:fldCharType="separate"/>
          </w:r>
        </w:p>
        <w:p>
          <w:pPr>
            <w:pStyle w:val="10"/>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_Toc24403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 xml:space="preserve">第一部分 </w:t>
          </w:r>
          <w:r>
            <w:rPr>
              <w:rFonts w:hint="eastAsia" w:asciiTheme="minorEastAsia" w:hAnsiTheme="minorEastAsia" w:eastAsiaTheme="minorEastAsia" w:cstheme="minorEastAsia"/>
              <w:bCs w:val="0"/>
              <w:sz w:val="30"/>
              <w:szCs w:val="30"/>
            </w:rPr>
            <w:t>部门概况</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_Toc24403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_Toc31529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一、基</w:t>
          </w:r>
          <w:r>
            <w:rPr>
              <w:rFonts w:hint="eastAsia" w:asciiTheme="minorEastAsia" w:hAnsiTheme="minorEastAsia" w:eastAsiaTheme="minorEastAsia" w:cstheme="minorEastAsia"/>
              <w:bCs w:val="0"/>
              <w:sz w:val="30"/>
              <w:szCs w:val="30"/>
            </w:rPr>
            <w:t>本职能及主要工作</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_Toc31529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_Toc17717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sz w:val="30"/>
              <w:szCs w:val="30"/>
            </w:rPr>
            <w:t>（一）主要职能。</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_Toc17717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_Toc3418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sz w:val="30"/>
              <w:szCs w:val="30"/>
            </w:rPr>
            <w:t>（二）2019年重点工作完成情况。</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_Toc3418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_Toc30688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二、机</w:t>
          </w:r>
          <w:r>
            <w:rPr>
              <w:rFonts w:hint="eastAsia" w:asciiTheme="minorEastAsia" w:hAnsiTheme="minorEastAsia" w:eastAsiaTheme="minorEastAsia" w:cstheme="minorEastAsia"/>
              <w:bCs w:val="0"/>
              <w:sz w:val="30"/>
              <w:szCs w:val="30"/>
            </w:rPr>
            <w:t>构设置</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_Toc30688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7</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_Toc31768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 行政单位1个；</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_Toc31768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7</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_Toc23046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2. 事业单位便民中心1个</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_Toc23046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7</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0"/>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_Toc16618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 xml:space="preserve">第二部分 </w:t>
          </w:r>
          <w:r>
            <w:rPr>
              <w:rFonts w:hint="eastAsia" w:asciiTheme="minorEastAsia" w:hAnsiTheme="minorEastAsia" w:eastAsiaTheme="minorEastAsia" w:cstheme="minorEastAsia"/>
              <w:bCs w:val="0"/>
              <w:sz w:val="30"/>
              <w:szCs w:val="30"/>
            </w:rPr>
            <w:t>2019年度部门决算情况说明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_Toc16618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8</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_Toc2271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一、 收入支出决算总体情况说明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_Toc2271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8</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_Toc32528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二、 收入决算情况说明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_Toc32528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8</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_Toc19897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三、 支出决算情况说明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_Toc19897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9</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_Toc14505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四、财政拨款收入支出决算总体情况说明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_Toc14505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10</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_Toc15043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五、一般公共预算财政拨款支出决算情况说明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_Toc15043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10</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_Toc8341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（一）一般公共预算财政拨款支出决算总体情况</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_Toc8341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10</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_Toc21675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（二）一般公共预算财政拨款支出决算结构情况</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_Toc21675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11</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_Toc18935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（三）一般公共预算财政拨款支出决算具体情况</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_Toc18935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12</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_Toc1450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六、一般公共预算财政拨款基本支出决算情况说明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_Toc1450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12</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_Toc13781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七、“三公”经费财政拨款支出决算情况说明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_Toc13781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_Toc30852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（一）“三公”经费财政拨款支出决算总体情况说明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_Toc30852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_Toc9045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（二）“三公”经费财政拨款支出决算具体情况说明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_Toc9045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_Toc17654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八、政府性基金预算支出决算情况说明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_Toc17654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_Toc18888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九、 国有资本经营预算支出决算情况说明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_Toc18888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_Toc20064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十、其他重要事项的情况说明</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_Toc20064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_Toc22241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（一）机关运行经费支出情况</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_Toc22241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_Toc19507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（二）政府采购支出情况</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_Toc19507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_Toc2732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（三）国有资产占有使用情况</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_Toc2732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16</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6"/>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_Toc21287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（四）预算绩效管理情况。</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_Toc21287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16</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0"/>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_Toc4210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第三部分 名词解释</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_Toc4210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25</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0"/>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_Toc27911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第四部分 附件</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2</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9</w:t>
          </w:r>
        </w:p>
        <w:p>
          <w:pPr>
            <w:pStyle w:val="10"/>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_Toc20443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附件1</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2</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9</w:t>
          </w:r>
        </w:p>
        <w:p>
          <w:pPr>
            <w:pStyle w:val="10"/>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_Toc23513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第五部分 附表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pPr>
            <w:pStyle w:val="11"/>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_Toc32736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一、收</w:t>
          </w:r>
          <w:r>
            <w:rPr>
              <w:rFonts w:hint="eastAsia" w:asciiTheme="minorEastAsia" w:hAnsiTheme="minorEastAsia" w:eastAsiaTheme="minorEastAsia" w:cstheme="minorEastAsia"/>
              <w:bCs w:val="0"/>
              <w:sz w:val="30"/>
              <w:szCs w:val="30"/>
            </w:rPr>
            <w:t>入支出决算总表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pPr>
            <w:pStyle w:val="11"/>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_Toc19323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二、收</w:t>
          </w:r>
          <w:r>
            <w:rPr>
              <w:rFonts w:hint="eastAsia" w:asciiTheme="minorEastAsia" w:hAnsiTheme="minorEastAsia" w:eastAsiaTheme="minorEastAsia" w:cstheme="minorEastAsia"/>
              <w:bCs w:val="0"/>
              <w:sz w:val="30"/>
              <w:szCs w:val="30"/>
            </w:rPr>
            <w:t>入决算表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pPr>
            <w:pStyle w:val="11"/>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_Toc21131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三、</w:t>
          </w:r>
          <w:r>
            <w:rPr>
              <w:rFonts w:hint="eastAsia" w:asciiTheme="minorEastAsia" w:hAnsiTheme="minorEastAsia" w:eastAsiaTheme="minorEastAsia" w:cstheme="minorEastAsia"/>
              <w:sz w:val="30"/>
              <w:szCs w:val="30"/>
            </w:rPr>
            <w:t>支</w:t>
          </w:r>
          <w:r>
            <w:rPr>
              <w:rFonts w:hint="eastAsia" w:asciiTheme="minorEastAsia" w:hAnsiTheme="minorEastAsia" w:eastAsiaTheme="minorEastAsia" w:cstheme="minorEastAsia"/>
              <w:bCs w:val="0"/>
              <w:sz w:val="30"/>
              <w:szCs w:val="30"/>
            </w:rPr>
            <w:t>出决算表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pPr>
            <w:pStyle w:val="11"/>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_Toc3301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四、</w:t>
          </w:r>
          <w:r>
            <w:rPr>
              <w:rFonts w:hint="eastAsia" w:asciiTheme="minorEastAsia" w:hAnsiTheme="minorEastAsia" w:eastAsiaTheme="minorEastAsia" w:cstheme="minorEastAsia"/>
              <w:sz w:val="30"/>
              <w:szCs w:val="30"/>
            </w:rPr>
            <w:t>财</w:t>
          </w:r>
          <w:r>
            <w:rPr>
              <w:rFonts w:hint="eastAsia" w:asciiTheme="minorEastAsia" w:hAnsiTheme="minorEastAsia" w:eastAsiaTheme="minorEastAsia" w:cstheme="minorEastAsia"/>
              <w:bCs w:val="0"/>
              <w:sz w:val="30"/>
              <w:szCs w:val="30"/>
            </w:rPr>
            <w:t>政拨款收入支出决算总表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_Toc1956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五、</w:t>
          </w:r>
          <w:r>
            <w:rPr>
              <w:rFonts w:hint="eastAsia" w:asciiTheme="minorEastAsia" w:hAnsiTheme="minorEastAsia" w:eastAsiaTheme="minorEastAsia" w:cstheme="minorEastAsia"/>
              <w:sz w:val="30"/>
              <w:szCs w:val="30"/>
            </w:rPr>
            <w:t>财</w:t>
          </w:r>
          <w:r>
            <w:rPr>
              <w:rFonts w:hint="eastAsia" w:asciiTheme="minorEastAsia" w:hAnsiTheme="minorEastAsia" w:eastAsiaTheme="minorEastAsia" w:cstheme="minorEastAsia"/>
              <w:bCs w:val="0"/>
              <w:sz w:val="30"/>
              <w:szCs w:val="30"/>
            </w:rPr>
            <w:t>政拨款支出决算明细表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_Toc1956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3</w:t>
          </w:r>
          <w:r>
            <w:rPr>
              <w:rFonts w:hint="eastAsia" w:asciiTheme="minorEastAsia" w:hAnsiTheme="minorEastAsia" w:eastAsiaTheme="minorEastAsia" w:cstheme="minorEastAsia"/>
              <w:sz w:val="30"/>
              <w:szCs w:val="30"/>
              <w:lang w:val="en-US" w:eastAsia="zh-CN"/>
            </w:rPr>
            <w:t>6</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_Toc4270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六、</w:t>
          </w:r>
          <w:r>
            <w:rPr>
              <w:rFonts w:hint="eastAsia" w:asciiTheme="minorEastAsia" w:hAnsiTheme="minorEastAsia" w:eastAsiaTheme="minorEastAsia" w:cstheme="minorEastAsia"/>
              <w:sz w:val="30"/>
              <w:szCs w:val="30"/>
            </w:rPr>
            <w:t>一</w:t>
          </w:r>
          <w:r>
            <w:rPr>
              <w:rFonts w:hint="eastAsia" w:asciiTheme="minorEastAsia" w:hAnsiTheme="minorEastAsia" w:eastAsiaTheme="minorEastAsia" w:cstheme="minorEastAsia"/>
              <w:bCs w:val="0"/>
              <w:sz w:val="30"/>
              <w:szCs w:val="30"/>
            </w:rPr>
            <w:t>般公共预算财政拨款支出决算表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_Toc4270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3</w:t>
          </w:r>
          <w:r>
            <w:rPr>
              <w:rFonts w:hint="eastAsia" w:asciiTheme="minorEastAsia" w:hAnsiTheme="minorEastAsia" w:eastAsiaTheme="minorEastAsia" w:cstheme="minorEastAsia"/>
              <w:sz w:val="30"/>
              <w:szCs w:val="30"/>
              <w:lang w:val="en-US" w:eastAsia="zh-CN"/>
            </w:rPr>
            <w:t>6</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_Toc26030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七、</w:t>
          </w:r>
          <w:r>
            <w:rPr>
              <w:rFonts w:hint="eastAsia" w:asciiTheme="minorEastAsia" w:hAnsiTheme="minorEastAsia" w:eastAsiaTheme="minorEastAsia" w:cstheme="minorEastAsia"/>
              <w:sz w:val="30"/>
              <w:szCs w:val="30"/>
            </w:rPr>
            <w:t>一</w:t>
          </w:r>
          <w:r>
            <w:rPr>
              <w:rFonts w:hint="eastAsia" w:asciiTheme="minorEastAsia" w:hAnsiTheme="minorEastAsia" w:eastAsiaTheme="minorEastAsia" w:cstheme="minorEastAsia"/>
              <w:bCs w:val="0"/>
              <w:sz w:val="30"/>
              <w:szCs w:val="30"/>
            </w:rPr>
            <w:t>般公共预算财政拨款支出决算明细表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_Toc26030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3</w:t>
          </w:r>
          <w:r>
            <w:rPr>
              <w:rFonts w:hint="eastAsia" w:asciiTheme="minorEastAsia" w:hAnsiTheme="minorEastAsia" w:eastAsiaTheme="minorEastAsia" w:cstheme="minorEastAsia"/>
              <w:sz w:val="30"/>
              <w:szCs w:val="30"/>
              <w:lang w:val="en-US" w:eastAsia="zh-CN"/>
            </w:rPr>
            <w:t>6</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_Toc17031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八、</w:t>
          </w:r>
          <w:r>
            <w:rPr>
              <w:rFonts w:hint="eastAsia" w:asciiTheme="minorEastAsia" w:hAnsiTheme="minorEastAsia" w:eastAsiaTheme="minorEastAsia" w:cstheme="minorEastAsia"/>
              <w:sz w:val="30"/>
              <w:szCs w:val="30"/>
            </w:rPr>
            <w:t>一</w:t>
          </w:r>
          <w:r>
            <w:rPr>
              <w:rFonts w:hint="eastAsia" w:asciiTheme="minorEastAsia" w:hAnsiTheme="minorEastAsia" w:eastAsiaTheme="minorEastAsia" w:cstheme="minorEastAsia"/>
              <w:bCs w:val="0"/>
              <w:sz w:val="30"/>
              <w:szCs w:val="30"/>
            </w:rPr>
            <w:t>般公共预算财政拨款基本支出决算表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PAGEREF _Toc17031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3</w:t>
          </w:r>
          <w:r>
            <w:rPr>
              <w:rFonts w:hint="eastAsia" w:asciiTheme="minorEastAsia" w:hAnsiTheme="minorEastAsia" w:eastAsiaTheme="minorEastAsia" w:cstheme="minorEastAsia"/>
              <w:sz w:val="30"/>
              <w:szCs w:val="30"/>
              <w:lang w:val="en-US" w:eastAsia="zh-CN"/>
            </w:rPr>
            <w:t>6</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fldChar w:fldCharType="end"/>
          </w:r>
        </w:p>
        <w:p>
          <w:pPr>
            <w:pStyle w:val="11"/>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_Toc21474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九、</w:t>
          </w:r>
          <w:r>
            <w:rPr>
              <w:rFonts w:hint="eastAsia" w:asciiTheme="minorEastAsia" w:hAnsiTheme="minorEastAsia" w:eastAsiaTheme="minorEastAsia" w:cstheme="minorEastAsia"/>
              <w:sz w:val="30"/>
              <w:szCs w:val="30"/>
            </w:rPr>
            <w:t>一</w:t>
          </w:r>
          <w:r>
            <w:rPr>
              <w:rFonts w:hint="eastAsia" w:asciiTheme="minorEastAsia" w:hAnsiTheme="minorEastAsia" w:eastAsiaTheme="minorEastAsia" w:cstheme="minorEastAsia"/>
              <w:bCs w:val="0"/>
              <w:sz w:val="30"/>
              <w:szCs w:val="30"/>
            </w:rPr>
            <w:t>般公共预算财政拨款项目支出决算表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pPr>
            <w:pStyle w:val="11"/>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_Toc13771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十、</w:t>
          </w:r>
          <w:r>
            <w:rPr>
              <w:rFonts w:hint="eastAsia" w:asciiTheme="minorEastAsia" w:hAnsiTheme="minorEastAsia" w:eastAsiaTheme="minorEastAsia" w:cstheme="minorEastAsia"/>
              <w:sz w:val="30"/>
              <w:szCs w:val="30"/>
            </w:rPr>
            <w:t>一</w:t>
          </w:r>
          <w:r>
            <w:rPr>
              <w:rFonts w:hint="eastAsia" w:asciiTheme="minorEastAsia" w:hAnsiTheme="minorEastAsia" w:eastAsiaTheme="minorEastAsia" w:cstheme="minorEastAsia"/>
              <w:bCs w:val="0"/>
              <w:sz w:val="30"/>
              <w:szCs w:val="30"/>
            </w:rPr>
            <w:t>般公共预算财政拨款“三公”经费支出决算表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pPr>
            <w:pStyle w:val="11"/>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_Toc25878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十一、</w:t>
          </w:r>
          <w:r>
            <w:rPr>
              <w:rFonts w:hint="eastAsia" w:asciiTheme="minorEastAsia" w:hAnsiTheme="minorEastAsia" w:eastAsiaTheme="minorEastAsia" w:cstheme="minorEastAsia"/>
              <w:sz w:val="30"/>
              <w:szCs w:val="30"/>
            </w:rPr>
            <w:t>政</w:t>
          </w:r>
          <w:r>
            <w:rPr>
              <w:rFonts w:hint="eastAsia" w:asciiTheme="minorEastAsia" w:hAnsiTheme="minorEastAsia" w:eastAsiaTheme="minorEastAsia" w:cstheme="minorEastAsia"/>
              <w:bCs w:val="0"/>
              <w:sz w:val="30"/>
              <w:szCs w:val="30"/>
            </w:rPr>
            <w:t>府性基金预算财政拨款收入支出决算表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pPr>
            <w:pStyle w:val="11"/>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_Toc21332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十二、</w:t>
          </w:r>
          <w:r>
            <w:rPr>
              <w:rFonts w:hint="eastAsia" w:asciiTheme="minorEastAsia" w:hAnsiTheme="minorEastAsia" w:eastAsiaTheme="minorEastAsia" w:cstheme="minorEastAsia"/>
              <w:sz w:val="30"/>
              <w:szCs w:val="30"/>
            </w:rPr>
            <w:t>政</w:t>
          </w:r>
          <w:r>
            <w:rPr>
              <w:rFonts w:hint="eastAsia" w:asciiTheme="minorEastAsia" w:hAnsiTheme="minorEastAsia" w:eastAsiaTheme="minorEastAsia" w:cstheme="minorEastAsia"/>
              <w:bCs w:val="0"/>
              <w:sz w:val="30"/>
              <w:szCs w:val="30"/>
            </w:rPr>
            <w:t>府性基金预算财政拨款“三公”经费支出决算表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pPr>
            <w:pStyle w:val="11"/>
            <w:tabs>
              <w:tab w:val="right" w:leader="dot" w:pos="8306"/>
              <w:tab w:val="clear" w:pos="8296"/>
            </w:tabs>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HYPERLINK \l _Toc25255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bCs w:val="0"/>
              <w:sz w:val="30"/>
              <w:szCs w:val="30"/>
            </w:rPr>
            <w:t>十三、</w:t>
          </w:r>
          <w:r>
            <w:rPr>
              <w:rFonts w:hint="eastAsia" w:asciiTheme="minorEastAsia" w:hAnsiTheme="minorEastAsia" w:eastAsiaTheme="minorEastAsia" w:cstheme="minorEastAsia"/>
              <w:sz w:val="30"/>
              <w:szCs w:val="30"/>
            </w:rPr>
            <w:t>国</w:t>
          </w:r>
          <w:r>
            <w:rPr>
              <w:rFonts w:hint="eastAsia" w:asciiTheme="minorEastAsia" w:hAnsiTheme="minorEastAsia" w:eastAsiaTheme="minorEastAsia" w:cstheme="minorEastAsia"/>
              <w:bCs w:val="0"/>
              <w:sz w:val="30"/>
              <w:szCs w:val="30"/>
            </w:rPr>
            <w:t>有资本经营预算支出决算表</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lang w:val="en-US" w:eastAsia="zh-CN"/>
            </w:rPr>
            <w:t>6</w:t>
          </w:r>
        </w:p>
        <w:p>
          <w:r>
            <w:rPr>
              <w:rFonts w:hint="eastAsia" w:asciiTheme="minorEastAsia" w:hAnsiTheme="minorEastAsia" w:eastAsiaTheme="minorEastAsia" w:cstheme="minorEastAsia"/>
              <w:sz w:val="30"/>
              <w:szCs w:val="30"/>
            </w:rPr>
            <w:fldChar w:fldCharType="end"/>
          </w:r>
        </w:p>
      </w:sdtContent>
    </w:sdt>
    <w:p>
      <w:pPr>
        <w:pStyle w:val="2"/>
        <w:jc w:val="both"/>
        <w:rPr>
          <w:rFonts w:hint="eastAsia" w:ascii="黑体" w:hAnsi="黑体" w:eastAsia="黑体"/>
          <w:b w:val="0"/>
        </w:rPr>
      </w:pPr>
      <w:bookmarkStart w:id="16" w:name="_Toc24403"/>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rPr>
          <w:rFonts w:hint="eastAsia" w:ascii="黑体" w:hAnsi="黑体" w:eastAsia="黑体"/>
          <w:b w:val="0"/>
        </w:rPr>
      </w:pPr>
    </w:p>
    <w:p>
      <w:pPr>
        <w:pStyle w:val="2"/>
        <w:pageBreakBefore w:val="0"/>
        <w:kinsoku/>
        <w:wordWrap/>
        <w:overflowPunct/>
        <w:topLinePunct w:val="0"/>
        <w:bidi w:val="0"/>
        <w:spacing w:before="0" w:after="0" w:line="578" w:lineRule="exact"/>
        <w:jc w:val="center"/>
        <w:textAlignment w:val="auto"/>
        <w:rPr>
          <w:rFonts w:hint="eastAsia" w:ascii="方正小标宋简体" w:hAnsi="方正小标宋简体" w:eastAsia="方正小标宋简体" w:cs="方正小标宋简体"/>
          <w:b w:val="0"/>
        </w:rPr>
      </w:pPr>
    </w:p>
    <w:p>
      <w:pPr>
        <w:pStyle w:val="2"/>
        <w:pageBreakBefore w:val="0"/>
        <w:kinsoku/>
        <w:wordWrap/>
        <w:overflowPunct/>
        <w:topLinePunct w:val="0"/>
        <w:bidi w:val="0"/>
        <w:spacing w:before="0" w:after="0" w:line="578" w:lineRule="exact"/>
        <w:jc w:val="center"/>
        <w:textAlignment w:val="auto"/>
        <w:rPr>
          <w:rStyle w:val="24"/>
          <w:rFonts w:hint="eastAsia"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rPr>
        <w:t xml:space="preserve">第一部分 </w:t>
      </w:r>
      <w:r>
        <w:rPr>
          <w:rStyle w:val="24"/>
          <w:rFonts w:hint="eastAsia" w:ascii="方正小标宋简体" w:hAnsi="方正小标宋简体" w:eastAsia="方正小标宋简体" w:cs="方正小标宋简体"/>
          <w:b w:val="0"/>
          <w:bCs w:val="0"/>
        </w:rPr>
        <w:t>部门概况</w:t>
      </w:r>
      <w:bookmarkEnd w:id="14"/>
      <w:bookmarkEnd w:id="15"/>
      <w:bookmarkEnd w:id="16"/>
    </w:p>
    <w:p>
      <w:pPr>
        <w:rPr>
          <w:rFonts w:hint="eastAsia"/>
        </w:rPr>
      </w:pPr>
    </w:p>
    <w:p>
      <w:pPr>
        <w:pStyle w:val="3"/>
        <w:pageBreakBefore w:val="0"/>
        <w:kinsoku/>
        <w:wordWrap/>
        <w:overflowPunct/>
        <w:topLinePunct w:val="0"/>
        <w:bidi w:val="0"/>
        <w:spacing w:before="0" w:after="0" w:line="578" w:lineRule="exact"/>
        <w:textAlignment w:val="auto"/>
        <w:rPr>
          <w:rStyle w:val="25"/>
          <w:rFonts w:ascii="仿宋" w:hAnsi="仿宋" w:eastAsia="仿宋"/>
          <w:b w:val="0"/>
          <w:bCs w:val="0"/>
        </w:rPr>
      </w:pPr>
      <w:bookmarkStart w:id="17" w:name="_Toc15396600"/>
      <w:bookmarkStart w:id="18" w:name="_Toc15377197"/>
      <w:bookmarkStart w:id="19" w:name="_Toc31529"/>
      <w:r>
        <w:rPr>
          <w:rFonts w:hint="eastAsia" w:ascii="黑体" w:hAnsi="黑体" w:eastAsia="黑体"/>
          <w:b w:val="0"/>
          <w:color w:val="000000"/>
        </w:rPr>
        <w:t>一、基</w:t>
      </w:r>
      <w:r>
        <w:rPr>
          <w:rStyle w:val="25"/>
          <w:rFonts w:hint="eastAsia" w:ascii="黑体" w:hAnsi="黑体" w:eastAsia="黑体"/>
          <w:b w:val="0"/>
          <w:bCs w:val="0"/>
        </w:rPr>
        <w:t>本职能及主要工作</w:t>
      </w:r>
      <w:bookmarkEnd w:id="17"/>
      <w:bookmarkEnd w:id="18"/>
      <w:bookmarkEnd w:id="19"/>
    </w:p>
    <w:p>
      <w:pPr>
        <w:pStyle w:val="5"/>
        <w:pageBreakBefore w:val="0"/>
        <w:kinsoku/>
        <w:wordWrap/>
        <w:overflowPunct/>
        <w:topLinePunct w:val="0"/>
        <w:bidi w:val="0"/>
        <w:adjustRightInd w:val="0"/>
        <w:snapToGrid w:val="0"/>
        <w:spacing w:beforeLines="0" w:line="578" w:lineRule="exact"/>
        <w:ind w:firstLine="672" w:firstLineChars="210"/>
        <w:textAlignment w:val="auto"/>
        <w:outlineLvl w:val="2"/>
        <w:rPr>
          <w:rFonts w:hint="eastAsia" w:ascii="楷体" w:hAnsi="楷体" w:eastAsia="楷体" w:cs="楷体"/>
          <w:bCs/>
          <w:color w:val="000000"/>
          <w:sz w:val="32"/>
          <w:szCs w:val="32"/>
        </w:rPr>
      </w:pPr>
      <w:bookmarkStart w:id="20" w:name="_Toc15378445"/>
      <w:bookmarkStart w:id="21" w:name="_Toc17717"/>
      <w:bookmarkStart w:id="22" w:name="_Toc15377198"/>
      <w:r>
        <w:rPr>
          <w:rFonts w:hint="eastAsia" w:ascii="楷体" w:hAnsi="楷体" w:eastAsia="楷体" w:cs="楷体"/>
          <w:bCs/>
          <w:color w:val="000000"/>
          <w:sz w:val="32"/>
          <w:szCs w:val="32"/>
        </w:rPr>
        <w:t>（一）主要职能</w:t>
      </w:r>
      <w:bookmarkEnd w:id="20"/>
      <w:bookmarkEnd w:id="21"/>
      <w:bookmarkEnd w:id="22"/>
      <w:bookmarkStart w:id="23" w:name="_Toc15377199"/>
      <w:bookmarkStart w:id="24" w:name="_Toc15378446"/>
    </w:p>
    <w:p>
      <w:pPr>
        <w:pageBreakBefore w:val="0"/>
        <w:kinsoku/>
        <w:wordWrap/>
        <w:overflowPunct/>
        <w:topLinePunct w:val="0"/>
        <w:bidi w:val="0"/>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1</w:t>
      </w:r>
      <w:r>
        <w:rPr>
          <w:rFonts w:hint="eastAsia" w:ascii="仿宋" w:hAnsi="仿宋" w:eastAsia="仿宋"/>
          <w:sz w:val="32"/>
          <w:szCs w:val="32"/>
        </w:rPr>
        <w:t>）制定和组织我镇实施经济、科技和社会发展计划，制定资源开发技术改造和产业结构调整方案，组织指导好各业生产，搞好商品流通，协调好本镇与外地区的经济交流与合作，抓好招商引资，人才引进项目开发，不断培育市场体系，组织经济运行，促进经济发展。</w:t>
      </w:r>
    </w:p>
    <w:p>
      <w:pPr>
        <w:pageBreakBefore w:val="0"/>
        <w:kinsoku/>
        <w:wordWrap/>
        <w:overflowPunct/>
        <w:topLinePunct w:val="0"/>
        <w:bidi w:val="0"/>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2</w:t>
      </w:r>
      <w:r>
        <w:rPr>
          <w:rFonts w:hint="eastAsia" w:ascii="仿宋" w:hAnsi="仿宋" w:eastAsia="仿宋"/>
          <w:sz w:val="32"/>
          <w:szCs w:val="32"/>
        </w:rPr>
        <w:t>）制定并组织实施我镇村镇建设规划，部署重点工程建设，地方道路建设及公共设施，水利设施的管理，负责土地、林木、水等自然资源和生态环境的保护，做好护林防火工作。</w:t>
      </w:r>
      <w:r>
        <w:rPr>
          <w:rFonts w:ascii="仿宋" w:hAnsi="仿宋" w:eastAsia="仿宋"/>
          <w:sz w:val="32"/>
          <w:szCs w:val="32"/>
        </w:rPr>
        <w:br w:type="textWrapping"/>
      </w:r>
      <w:r>
        <w:rPr>
          <w:rFonts w:ascii="仿宋" w:hAnsi="仿宋" w:eastAsia="仿宋"/>
          <w:sz w:val="32"/>
          <w:szCs w:val="32"/>
        </w:rPr>
        <w:t xml:space="preserve">   </w:t>
      </w:r>
      <w:r>
        <w:rPr>
          <w:rFonts w:hint="eastAsia" w:ascii="仿宋" w:hAnsi="仿宋" w:eastAsia="仿宋"/>
          <w:sz w:val="32"/>
          <w:szCs w:val="32"/>
        </w:rPr>
        <w:t>（</w:t>
      </w:r>
      <w:r>
        <w:rPr>
          <w:rFonts w:ascii="仿宋" w:hAnsi="仿宋" w:eastAsia="仿宋"/>
          <w:sz w:val="32"/>
          <w:szCs w:val="32"/>
        </w:rPr>
        <w:t>3</w:t>
      </w:r>
      <w:r>
        <w:rPr>
          <w:rFonts w:hint="eastAsia" w:ascii="仿宋" w:hAnsi="仿宋" w:eastAsia="仿宋"/>
          <w:sz w:val="32"/>
          <w:szCs w:val="32"/>
        </w:rPr>
        <w:t>）负责我镇行政区域内的民政、计划生育、文化教育、卫生、体育等社会公益事业的综合性工作，维护一切经济单位和个人的正当经济权益，取缔非法经济活动，调解和处理民事纠纷，打击刑事犯罪维护社会稳定。</w:t>
      </w:r>
    </w:p>
    <w:p>
      <w:pPr>
        <w:pStyle w:val="5"/>
        <w:pageBreakBefore w:val="0"/>
        <w:kinsoku/>
        <w:wordWrap/>
        <w:overflowPunct/>
        <w:topLinePunct w:val="0"/>
        <w:bidi w:val="0"/>
        <w:adjustRightInd w:val="0"/>
        <w:snapToGrid w:val="0"/>
        <w:spacing w:beforeLines="0" w:line="578" w:lineRule="exact"/>
        <w:ind w:firstLine="672" w:firstLineChars="210"/>
        <w:textAlignment w:val="auto"/>
        <w:outlineLvl w:val="2"/>
        <w:rPr>
          <w:rFonts w:hint="eastAsia" w:ascii="仿宋" w:hAnsi="仿宋" w:eastAsia="仿宋"/>
          <w:bCs/>
          <w:color w:val="000000"/>
          <w:sz w:val="32"/>
          <w:szCs w:val="32"/>
        </w:rPr>
      </w:pPr>
      <w:bookmarkStart w:id="25" w:name="_Toc11349"/>
      <w:r>
        <w:rPr>
          <w:rFonts w:hint="eastAsia" w:ascii="仿宋" w:hAnsi="仿宋" w:eastAsia="仿宋"/>
          <w:sz w:val="32"/>
          <w:szCs w:val="32"/>
        </w:rPr>
        <w:t>（</w:t>
      </w:r>
      <w:r>
        <w:rPr>
          <w:rFonts w:ascii="仿宋" w:hAnsi="仿宋" w:eastAsia="仿宋"/>
          <w:sz w:val="32"/>
          <w:szCs w:val="32"/>
        </w:rPr>
        <w:t>4</w:t>
      </w:r>
      <w:r>
        <w:rPr>
          <w:rFonts w:hint="eastAsia" w:ascii="仿宋" w:hAnsi="仿宋" w:eastAsia="仿宋"/>
          <w:sz w:val="32"/>
          <w:szCs w:val="32"/>
        </w:rPr>
        <w:t>）按计划组织我镇本级财政收入，完成国家财政计划，不断培植税源，管好财政资金，增强财政实力。</w:t>
      </w:r>
      <w:r>
        <w:rPr>
          <w:rFonts w:ascii="仿宋" w:hAnsi="仿宋" w:eastAsia="仿宋"/>
          <w:sz w:val="32"/>
          <w:szCs w:val="32"/>
        </w:rPr>
        <w:br w:type="textWrapping"/>
      </w:r>
      <w:r>
        <w:rPr>
          <w:rFonts w:ascii="仿宋" w:hAnsi="仿宋" w:eastAsia="仿宋"/>
          <w:sz w:val="32"/>
          <w:szCs w:val="32"/>
        </w:rPr>
        <w:t xml:space="preserve">    </w:t>
      </w:r>
      <w:r>
        <w:rPr>
          <w:rFonts w:hint="eastAsia" w:ascii="仿宋" w:hAnsi="仿宋" w:eastAsia="仿宋"/>
          <w:sz w:val="32"/>
          <w:szCs w:val="32"/>
        </w:rPr>
        <w:t>（</w:t>
      </w:r>
      <w:r>
        <w:rPr>
          <w:rFonts w:ascii="仿宋" w:hAnsi="仿宋" w:eastAsia="仿宋"/>
          <w:sz w:val="32"/>
          <w:szCs w:val="32"/>
        </w:rPr>
        <w:t>5</w:t>
      </w:r>
      <w:r>
        <w:rPr>
          <w:rFonts w:hint="eastAsia" w:ascii="仿宋" w:hAnsi="仿宋" w:eastAsia="仿宋"/>
          <w:sz w:val="32"/>
          <w:szCs w:val="32"/>
        </w:rPr>
        <w:t>）抓好我镇精神文明建设，丰富群众文化生活，提倡移风易俗，反对封建迷信，破除陈规陋习，树立社会主义新风尚。</w:t>
      </w:r>
      <w:r>
        <w:rPr>
          <w:rFonts w:ascii="仿宋" w:hAnsi="仿宋" w:eastAsia="仿宋"/>
          <w:sz w:val="32"/>
          <w:szCs w:val="32"/>
        </w:rPr>
        <w:br w:type="textWrapping"/>
      </w:r>
      <w:r>
        <w:rPr>
          <w:rFonts w:ascii="仿宋" w:hAnsi="仿宋" w:eastAsia="仿宋"/>
          <w:sz w:val="32"/>
          <w:szCs w:val="32"/>
        </w:rPr>
        <w:t xml:space="preserve">    </w:t>
      </w:r>
      <w:r>
        <w:rPr>
          <w:rFonts w:hint="eastAsia" w:ascii="仿宋" w:hAnsi="仿宋" w:eastAsia="仿宋"/>
          <w:sz w:val="32"/>
          <w:szCs w:val="32"/>
        </w:rPr>
        <w:t>（</w:t>
      </w:r>
      <w:r>
        <w:rPr>
          <w:rFonts w:ascii="仿宋" w:hAnsi="仿宋" w:eastAsia="仿宋"/>
          <w:sz w:val="32"/>
          <w:szCs w:val="32"/>
        </w:rPr>
        <w:t>6</w:t>
      </w:r>
      <w:r>
        <w:rPr>
          <w:rFonts w:hint="eastAsia" w:ascii="仿宋" w:hAnsi="仿宋" w:eastAsia="仿宋"/>
          <w:sz w:val="32"/>
          <w:szCs w:val="32"/>
        </w:rPr>
        <w:t>）完成上级政府交办的其它事项。</w:t>
      </w:r>
      <w:bookmarkEnd w:id="25"/>
    </w:p>
    <w:p>
      <w:pPr>
        <w:pStyle w:val="5"/>
        <w:pageBreakBefore w:val="0"/>
        <w:kinsoku/>
        <w:wordWrap/>
        <w:overflowPunct/>
        <w:topLinePunct w:val="0"/>
        <w:bidi w:val="0"/>
        <w:adjustRightInd w:val="0"/>
        <w:snapToGrid w:val="0"/>
        <w:spacing w:beforeLines="0" w:line="578" w:lineRule="exact"/>
        <w:ind w:firstLine="672" w:firstLineChars="210"/>
        <w:textAlignment w:val="auto"/>
        <w:outlineLvl w:val="2"/>
        <w:rPr>
          <w:rFonts w:hint="eastAsia" w:ascii="楷体" w:hAnsi="楷体" w:eastAsia="楷体" w:cs="楷体"/>
          <w:bCs/>
          <w:color w:val="000000"/>
          <w:sz w:val="32"/>
          <w:szCs w:val="32"/>
        </w:rPr>
      </w:pPr>
      <w:bookmarkStart w:id="26" w:name="_Toc3418"/>
      <w:r>
        <w:rPr>
          <w:rFonts w:hint="eastAsia" w:ascii="楷体" w:hAnsi="楷体" w:eastAsia="楷体" w:cs="楷体"/>
          <w:bCs/>
          <w:color w:val="000000"/>
          <w:sz w:val="32"/>
          <w:szCs w:val="32"/>
        </w:rPr>
        <w:t>（二）2019年重点工作完成情况</w:t>
      </w:r>
      <w:bookmarkEnd w:id="23"/>
      <w:bookmarkEnd w:id="24"/>
      <w:bookmarkEnd w:id="26"/>
    </w:p>
    <w:p>
      <w:pPr>
        <w:pageBreakBefore w:val="0"/>
        <w:kinsoku/>
        <w:wordWrap/>
        <w:overflowPunct/>
        <w:topLinePunct w:val="0"/>
        <w:bidi w:val="0"/>
        <w:spacing w:line="578" w:lineRule="exact"/>
        <w:ind w:firstLine="640" w:firstLineChars="200"/>
        <w:textAlignment w:val="auto"/>
        <w:rPr>
          <w:rFonts w:hint="eastAsia" w:ascii="楷体" w:hAnsi="楷体" w:eastAsia="楷体" w:cs="楷体"/>
          <w:sz w:val="32"/>
          <w:szCs w:val="32"/>
          <w:lang w:val="zh-CN"/>
        </w:rPr>
      </w:pPr>
      <w:r>
        <w:rPr>
          <w:rFonts w:hint="eastAsia" w:ascii="楷体" w:hAnsi="楷体" w:eastAsia="楷体" w:cs="楷体"/>
          <w:sz w:val="32"/>
          <w:szCs w:val="32"/>
          <w:lang w:val="zh-CN"/>
        </w:rPr>
        <w:t>一、预决算编制</w:t>
      </w:r>
    </w:p>
    <w:p>
      <w:pPr>
        <w:pageBreakBefore w:val="0"/>
        <w:kinsoku/>
        <w:wordWrap/>
        <w:overflowPunct/>
        <w:topLinePunct w:val="0"/>
        <w:bidi w:val="0"/>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我镇严格按照预算编制要求，预算的编制与本单位履行的职能紧密结合，对每一收支项目有科学的测算方法，做到预算数据的真实准确。根据历年收入情况和下一年度影响收入的增减变动因素，测算预算年度取得的各项收入，按收入的类别逐项测算、编制。我镇只有基本支出预算编制，无项目支出预算编制。</w:t>
      </w:r>
    </w:p>
    <w:p>
      <w:pPr>
        <w:pageBreakBefore w:val="0"/>
        <w:kinsoku/>
        <w:wordWrap/>
        <w:overflowPunct/>
        <w:topLinePunct w:val="0"/>
        <w:bidi w:val="0"/>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我镇决算严格按照决算编制相关规定和要求编制，决算数与调整预算数一致。</w:t>
      </w:r>
    </w:p>
    <w:p>
      <w:pPr>
        <w:pageBreakBefore w:val="0"/>
        <w:kinsoku/>
        <w:wordWrap/>
        <w:overflowPunct/>
        <w:topLinePunct w:val="0"/>
        <w:bidi w:val="0"/>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我镇严格按照规定和要求对财务预决算的相关内容进行公开。</w:t>
      </w:r>
    </w:p>
    <w:p>
      <w:pPr>
        <w:pageBreakBefore w:val="0"/>
        <w:kinsoku/>
        <w:wordWrap/>
        <w:overflowPunct/>
        <w:topLinePunct w:val="0"/>
        <w:bidi w:val="0"/>
        <w:spacing w:line="578" w:lineRule="exact"/>
        <w:ind w:firstLine="640" w:firstLineChars="200"/>
        <w:textAlignment w:val="auto"/>
        <w:rPr>
          <w:rFonts w:hint="eastAsia" w:ascii="仿宋" w:hAnsi="仿宋" w:eastAsia="仿宋"/>
          <w:sz w:val="32"/>
          <w:szCs w:val="32"/>
        </w:rPr>
      </w:pPr>
      <w:r>
        <w:rPr>
          <w:rFonts w:hint="eastAsia" w:ascii="仿宋" w:hAnsi="仿宋" w:eastAsia="仿宋"/>
          <w:sz w:val="32"/>
          <w:szCs w:val="32"/>
        </w:rPr>
        <w:t>我镇无年末结转和结余情况。</w:t>
      </w:r>
    </w:p>
    <w:p>
      <w:pPr>
        <w:pageBreakBefore w:val="0"/>
        <w:kinsoku/>
        <w:wordWrap/>
        <w:overflowPunct/>
        <w:topLinePunct w:val="0"/>
        <w:bidi w:val="0"/>
        <w:spacing w:line="578" w:lineRule="exact"/>
        <w:ind w:firstLine="640" w:firstLineChars="200"/>
        <w:textAlignment w:val="auto"/>
        <w:rPr>
          <w:rFonts w:hint="eastAsia" w:ascii="楷体" w:hAnsi="楷体" w:eastAsia="楷体" w:cs="楷体"/>
          <w:sz w:val="32"/>
          <w:szCs w:val="32"/>
          <w:lang w:val="zh-CN"/>
        </w:rPr>
      </w:pPr>
      <w:r>
        <w:rPr>
          <w:rFonts w:hint="eastAsia" w:ascii="楷体" w:hAnsi="楷体" w:eastAsia="楷体" w:cs="楷体"/>
          <w:sz w:val="32"/>
          <w:szCs w:val="32"/>
          <w:lang w:val="zh-CN"/>
        </w:rPr>
        <w:t>二、执行管理</w:t>
      </w:r>
    </w:p>
    <w:p>
      <w:pPr>
        <w:pageBreakBefore w:val="0"/>
        <w:kinsoku/>
        <w:wordWrap/>
        <w:overflowPunct/>
        <w:topLinePunct w:val="0"/>
        <w:bidi w:val="0"/>
        <w:spacing w:line="578" w:lineRule="exact"/>
        <w:ind w:firstLine="640" w:firstLineChars="200"/>
        <w:textAlignment w:val="auto"/>
        <w:rPr>
          <w:rFonts w:ascii="仿宋" w:hAnsi="仿宋" w:eastAsia="仿宋"/>
          <w:sz w:val="32"/>
          <w:szCs w:val="32"/>
        </w:rPr>
      </w:pPr>
      <w:r>
        <w:rPr>
          <w:rFonts w:ascii="仿宋" w:hAnsi="仿宋" w:eastAsia="仿宋"/>
          <w:sz w:val="32"/>
          <w:szCs w:val="32"/>
        </w:rPr>
        <w:t>201</w:t>
      </w:r>
      <w:r>
        <w:rPr>
          <w:rFonts w:hint="eastAsia" w:ascii="仿宋" w:hAnsi="仿宋" w:eastAsia="仿宋"/>
          <w:sz w:val="32"/>
          <w:szCs w:val="32"/>
          <w:lang w:val="en-US" w:eastAsia="zh-CN"/>
        </w:rPr>
        <w:t>9</w:t>
      </w:r>
      <w:r>
        <w:rPr>
          <w:rFonts w:hint="eastAsia" w:ascii="仿宋" w:hAnsi="仿宋" w:eastAsia="仿宋"/>
          <w:sz w:val="32"/>
          <w:szCs w:val="32"/>
        </w:rPr>
        <w:t>年桃花镇财政工作在镇党委、政府的正确领导下，在上级主管部门的关心支持下，始终坚持经济发展为中心不动摇，努力搞好项目推进工作，促进了我镇各项事业持续、健康、快速的发展，财政预决算工作在全镇人民的共同努力下，取得了可喜的成效，圆满完成了各项财政目标任务。</w:t>
      </w:r>
    </w:p>
    <w:p>
      <w:pPr>
        <w:pageBreakBefore w:val="0"/>
        <w:kinsoku/>
        <w:wordWrap/>
        <w:overflowPunct/>
        <w:topLinePunct w:val="0"/>
        <w:bidi w:val="0"/>
        <w:spacing w:line="578" w:lineRule="exact"/>
        <w:ind w:firstLine="640" w:firstLineChars="200"/>
        <w:textAlignment w:val="auto"/>
        <w:rPr>
          <w:rFonts w:hint="eastAsia" w:ascii="楷体" w:hAnsi="楷体" w:eastAsia="楷体" w:cs="楷体"/>
          <w:sz w:val="32"/>
          <w:szCs w:val="32"/>
          <w:lang w:val="zh-CN"/>
        </w:rPr>
      </w:pPr>
      <w:r>
        <w:rPr>
          <w:rFonts w:hint="eastAsia" w:ascii="楷体" w:hAnsi="楷体" w:eastAsia="楷体" w:cs="楷体"/>
          <w:sz w:val="32"/>
          <w:szCs w:val="32"/>
          <w:lang w:val="zh-CN"/>
        </w:rPr>
        <w:t>三、机关财务管理规章制度建立情况、会计核算和账务管理情况、政府采购制度执行情况等</w:t>
      </w:r>
    </w:p>
    <w:p>
      <w:pPr>
        <w:pageBreakBefore w:val="0"/>
        <w:kinsoku/>
        <w:wordWrap/>
        <w:overflowPunct/>
        <w:topLinePunct w:val="0"/>
        <w:bidi w:val="0"/>
        <w:spacing w:line="578" w:lineRule="exact"/>
        <w:ind w:firstLine="640" w:firstLineChars="200"/>
        <w:textAlignment w:val="auto"/>
        <w:rPr>
          <w:rFonts w:ascii="仿宋" w:hAnsi="仿宋" w:eastAsia="仿宋"/>
          <w:sz w:val="32"/>
          <w:szCs w:val="32"/>
        </w:rPr>
      </w:pPr>
      <w:r>
        <w:rPr>
          <w:rFonts w:hint="eastAsia" w:ascii="仿宋" w:hAnsi="仿宋" w:eastAsia="仿宋"/>
          <w:sz w:val="32"/>
          <w:szCs w:val="32"/>
        </w:rPr>
        <w:t>我镇财政所隶属于宣汉县财政局，机关财务管理规章制度参照宣汉县财政局指示执行。建有财务内控制度、财务审批管理办法、公务卡管理实施细则、固定资产管理暂行办法，财务公开制度、票据及发票管理制度、消耗材料管理办法、计划财务管理工作实施办法、财务报销管理暂行办法、部门预算管理实施细则。</w:t>
      </w:r>
    </w:p>
    <w:p>
      <w:pPr>
        <w:pStyle w:val="5"/>
        <w:pageBreakBefore w:val="0"/>
        <w:kinsoku/>
        <w:wordWrap/>
        <w:overflowPunct/>
        <w:topLinePunct w:val="0"/>
        <w:bidi w:val="0"/>
        <w:adjustRightInd w:val="0"/>
        <w:snapToGrid w:val="0"/>
        <w:spacing w:beforeLines="0" w:line="578" w:lineRule="exact"/>
        <w:ind w:firstLine="672" w:firstLineChars="210"/>
        <w:textAlignment w:val="auto"/>
        <w:outlineLvl w:val="2"/>
        <w:rPr>
          <w:rFonts w:hint="eastAsia" w:ascii="仿宋" w:hAnsi="仿宋" w:eastAsia="仿宋"/>
          <w:bCs/>
          <w:color w:val="000000"/>
          <w:sz w:val="32"/>
          <w:szCs w:val="32"/>
        </w:rPr>
      </w:pPr>
      <w:bookmarkStart w:id="27" w:name="_Toc13452"/>
      <w:r>
        <w:rPr>
          <w:rFonts w:hint="eastAsia" w:ascii="仿宋" w:hAnsi="仿宋" w:eastAsia="仿宋"/>
          <w:sz w:val="32"/>
          <w:szCs w:val="32"/>
        </w:rPr>
        <w:t>四、</w:t>
      </w:r>
      <w:r>
        <w:rPr>
          <w:rFonts w:hint="eastAsia" w:ascii="仿宋" w:hAnsi="仿宋" w:eastAsia="仿宋"/>
          <w:color w:val="000000"/>
          <w:sz w:val="32"/>
          <w:szCs w:val="32"/>
        </w:rPr>
        <w:t>加强村级集体财务管理，推动村务公开和民主理财，切实维护农民和村集体经济组织的合法权益，促进农村经济社会和谐健康发展，我镇财政所严格按照宣府办</w:t>
      </w:r>
      <w:r>
        <w:rPr>
          <w:rFonts w:hint="eastAsia" w:ascii="仿宋" w:hAnsi="仿宋" w:eastAsia="仿宋"/>
          <w:color w:val="000000"/>
          <w:sz w:val="32"/>
          <w:szCs w:val="32"/>
          <w:lang w:eastAsia="zh-CN"/>
        </w:rPr>
        <w:t>〔</w:t>
      </w:r>
      <w:r>
        <w:rPr>
          <w:rFonts w:ascii="仿宋" w:hAnsi="仿宋" w:eastAsia="仿宋"/>
          <w:color w:val="000000"/>
          <w:sz w:val="32"/>
          <w:szCs w:val="32"/>
        </w:rPr>
        <w:t>2013</w:t>
      </w:r>
      <w:r>
        <w:rPr>
          <w:rFonts w:hint="eastAsia" w:ascii="仿宋" w:hAnsi="仿宋" w:eastAsia="仿宋"/>
          <w:color w:val="000000"/>
          <w:sz w:val="32"/>
          <w:szCs w:val="32"/>
          <w:lang w:eastAsia="zh-CN"/>
        </w:rPr>
        <w:t>〕</w:t>
      </w:r>
      <w:r>
        <w:rPr>
          <w:rFonts w:ascii="仿宋" w:hAnsi="仿宋" w:eastAsia="仿宋"/>
          <w:color w:val="000000"/>
          <w:sz w:val="32"/>
          <w:szCs w:val="32"/>
        </w:rPr>
        <w:t>201</w:t>
      </w:r>
      <w:r>
        <w:rPr>
          <w:rFonts w:hint="eastAsia" w:ascii="仿宋" w:hAnsi="仿宋" w:eastAsia="仿宋"/>
          <w:color w:val="000000"/>
          <w:sz w:val="32"/>
          <w:szCs w:val="32"/>
        </w:rPr>
        <w:t>号、宣财发</w:t>
      </w:r>
      <w:r>
        <w:rPr>
          <w:rFonts w:hint="eastAsia" w:ascii="仿宋" w:hAnsi="仿宋" w:eastAsia="仿宋"/>
          <w:color w:val="000000"/>
          <w:sz w:val="32"/>
          <w:szCs w:val="32"/>
          <w:lang w:eastAsia="zh-CN"/>
        </w:rPr>
        <w:t>〔</w:t>
      </w:r>
      <w:r>
        <w:rPr>
          <w:rFonts w:ascii="仿宋" w:hAnsi="仿宋" w:eastAsia="仿宋"/>
          <w:color w:val="000000"/>
          <w:sz w:val="32"/>
          <w:szCs w:val="32"/>
        </w:rPr>
        <w:t>2014</w:t>
      </w:r>
      <w:r>
        <w:rPr>
          <w:rFonts w:hint="eastAsia" w:ascii="仿宋" w:hAnsi="仿宋" w:eastAsia="仿宋"/>
          <w:color w:val="000000"/>
          <w:sz w:val="32"/>
          <w:szCs w:val="32"/>
          <w:lang w:eastAsia="zh-CN"/>
        </w:rPr>
        <w:t>〕</w:t>
      </w:r>
      <w:r>
        <w:rPr>
          <w:rFonts w:ascii="仿宋" w:hAnsi="仿宋" w:eastAsia="仿宋"/>
          <w:color w:val="000000"/>
          <w:sz w:val="32"/>
          <w:szCs w:val="32"/>
        </w:rPr>
        <w:t>13</w:t>
      </w:r>
      <w:r>
        <w:rPr>
          <w:rFonts w:hint="eastAsia" w:ascii="仿宋" w:hAnsi="仿宋" w:eastAsia="仿宋"/>
          <w:color w:val="000000"/>
          <w:sz w:val="32"/>
          <w:szCs w:val="32"/>
        </w:rPr>
        <w:t>号文件执行，严格审核村级支出票据，做到按时做账、定期公开，群众随时可以在“三资”管理平台上查询本村的财务收支情况。按时按量完成了</w:t>
      </w:r>
      <w:r>
        <w:rPr>
          <w:rFonts w:ascii="仿宋" w:hAnsi="仿宋" w:eastAsia="仿宋"/>
          <w:color w:val="000000"/>
          <w:sz w:val="32"/>
          <w:szCs w:val="32"/>
        </w:rPr>
        <w:t>201</w:t>
      </w: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年度村级代理会计账务核算工作。</w:t>
      </w:r>
      <w:bookmarkEnd w:id="27"/>
    </w:p>
    <w:p>
      <w:pPr>
        <w:pStyle w:val="3"/>
        <w:pageBreakBefore w:val="0"/>
        <w:kinsoku/>
        <w:wordWrap/>
        <w:overflowPunct/>
        <w:topLinePunct w:val="0"/>
        <w:bidi w:val="0"/>
        <w:spacing w:before="0" w:after="0" w:line="578" w:lineRule="exact"/>
        <w:ind w:firstLine="640" w:firstLineChars="200"/>
        <w:textAlignment w:val="auto"/>
        <w:rPr>
          <w:rStyle w:val="25"/>
          <w:b w:val="0"/>
          <w:bCs w:val="0"/>
        </w:rPr>
      </w:pPr>
      <w:bookmarkStart w:id="28" w:name="_Toc15396601"/>
      <w:bookmarkStart w:id="29" w:name="_Toc15377200"/>
      <w:bookmarkStart w:id="30" w:name="_Toc30688"/>
      <w:r>
        <w:rPr>
          <w:rFonts w:hint="eastAsia" w:ascii="黑体" w:eastAsia="黑体"/>
          <w:b w:val="0"/>
          <w:color w:val="000000"/>
        </w:rPr>
        <w:t>二、</w:t>
      </w:r>
      <w:r>
        <w:rPr>
          <w:rFonts w:hint="eastAsia" w:ascii="黑体" w:hAnsi="黑体" w:eastAsia="黑体"/>
          <w:b w:val="0"/>
          <w:color w:val="000000"/>
        </w:rPr>
        <w:t>机</w:t>
      </w:r>
      <w:r>
        <w:rPr>
          <w:rStyle w:val="25"/>
          <w:rFonts w:hint="eastAsia" w:ascii="黑体" w:hAnsi="黑体" w:eastAsia="黑体"/>
          <w:b w:val="0"/>
          <w:bCs w:val="0"/>
        </w:rPr>
        <w:t>构设置</w:t>
      </w:r>
      <w:bookmarkEnd w:id="28"/>
      <w:bookmarkEnd w:id="29"/>
      <w:bookmarkEnd w:id="30"/>
    </w:p>
    <w:p>
      <w:pPr>
        <w:pageBreakBefore w:val="0"/>
        <w:kinsoku/>
        <w:wordWrap/>
        <w:overflowPunct/>
        <w:topLinePunct w:val="0"/>
        <w:bidi w:val="0"/>
        <w:spacing w:line="578" w:lineRule="exact"/>
        <w:ind w:firstLine="640" w:firstLineChars="200"/>
        <w:textAlignment w:val="auto"/>
        <w:rPr>
          <w:rFonts w:ascii="仿宋" w:hAnsi="仿宋" w:eastAsia="仿宋"/>
          <w:bCs/>
          <w:color w:val="000000"/>
          <w:sz w:val="32"/>
          <w:szCs w:val="32"/>
        </w:rPr>
      </w:pPr>
      <w:r>
        <w:rPr>
          <w:rFonts w:hint="eastAsia" w:ascii="仿宋" w:hAnsi="仿宋" w:eastAsia="仿宋"/>
          <w:color w:val="000000"/>
          <w:sz w:val="32"/>
          <w:szCs w:val="32"/>
        </w:rPr>
        <w:t>桃花镇人民政府为乡镇一级政府机关，辖桃花坪</w:t>
      </w:r>
      <w:r>
        <w:rPr>
          <w:rFonts w:hint="eastAsia" w:ascii="仿宋" w:hAnsi="仿宋" w:eastAsia="仿宋"/>
          <w:color w:val="000000"/>
          <w:sz w:val="32"/>
          <w:szCs w:val="32"/>
          <w:lang w:eastAsia="zh-CN"/>
        </w:rPr>
        <w:t>村</w:t>
      </w:r>
      <w:r>
        <w:rPr>
          <w:rFonts w:hint="eastAsia" w:ascii="仿宋" w:hAnsi="仿宋" w:eastAsia="仿宋"/>
          <w:color w:val="000000"/>
          <w:sz w:val="32"/>
          <w:szCs w:val="32"/>
        </w:rPr>
        <w:t>、鼓石梁</w:t>
      </w:r>
      <w:r>
        <w:rPr>
          <w:rFonts w:hint="eastAsia" w:ascii="仿宋" w:hAnsi="仿宋" w:eastAsia="仿宋"/>
          <w:color w:val="000000"/>
          <w:sz w:val="32"/>
          <w:szCs w:val="32"/>
          <w:lang w:eastAsia="zh-CN"/>
        </w:rPr>
        <w:t>村</w:t>
      </w:r>
      <w:r>
        <w:rPr>
          <w:rFonts w:hint="eastAsia" w:ascii="仿宋" w:hAnsi="仿宋" w:eastAsia="仿宋"/>
          <w:color w:val="000000"/>
          <w:sz w:val="32"/>
          <w:szCs w:val="32"/>
        </w:rPr>
        <w:t>、三溪</w:t>
      </w:r>
      <w:r>
        <w:rPr>
          <w:rFonts w:hint="eastAsia" w:ascii="仿宋" w:hAnsi="仿宋" w:eastAsia="仿宋"/>
          <w:color w:val="000000"/>
          <w:sz w:val="32"/>
          <w:szCs w:val="32"/>
          <w:lang w:eastAsia="zh-CN"/>
        </w:rPr>
        <w:t>村</w:t>
      </w:r>
      <w:r>
        <w:rPr>
          <w:rFonts w:hint="eastAsia" w:ascii="仿宋" w:hAnsi="仿宋" w:eastAsia="仿宋"/>
          <w:color w:val="000000"/>
          <w:sz w:val="32"/>
          <w:szCs w:val="32"/>
        </w:rPr>
        <w:t>、文凤</w:t>
      </w:r>
      <w:r>
        <w:rPr>
          <w:rFonts w:hint="eastAsia" w:ascii="仿宋" w:hAnsi="仿宋" w:eastAsia="仿宋"/>
          <w:color w:val="000000"/>
          <w:sz w:val="32"/>
          <w:szCs w:val="32"/>
          <w:lang w:eastAsia="zh-CN"/>
        </w:rPr>
        <w:t>村</w:t>
      </w:r>
      <w:r>
        <w:rPr>
          <w:rFonts w:hint="eastAsia" w:ascii="仿宋" w:hAnsi="仿宋" w:eastAsia="仿宋"/>
          <w:color w:val="000000"/>
          <w:sz w:val="32"/>
          <w:szCs w:val="32"/>
        </w:rPr>
        <w:t>、刘家沟</w:t>
      </w:r>
      <w:r>
        <w:rPr>
          <w:rFonts w:hint="eastAsia" w:ascii="仿宋" w:hAnsi="仿宋" w:eastAsia="仿宋"/>
          <w:color w:val="000000"/>
          <w:sz w:val="32"/>
          <w:szCs w:val="32"/>
          <w:lang w:eastAsia="zh-CN"/>
        </w:rPr>
        <w:t>村</w:t>
      </w:r>
      <w:r>
        <w:rPr>
          <w:rFonts w:hint="eastAsia" w:ascii="仿宋" w:hAnsi="仿宋" w:eastAsia="仿宋"/>
          <w:color w:val="000000"/>
          <w:sz w:val="32"/>
          <w:szCs w:val="32"/>
        </w:rPr>
        <w:t>、中山</w:t>
      </w:r>
      <w:r>
        <w:rPr>
          <w:rFonts w:hint="eastAsia" w:ascii="仿宋" w:hAnsi="仿宋" w:eastAsia="仿宋"/>
          <w:color w:val="000000"/>
          <w:sz w:val="32"/>
          <w:szCs w:val="32"/>
          <w:lang w:eastAsia="zh-CN"/>
        </w:rPr>
        <w:t>村</w:t>
      </w:r>
      <w:r>
        <w:rPr>
          <w:rFonts w:hint="eastAsia" w:ascii="仿宋" w:hAnsi="仿宋" w:eastAsia="仿宋"/>
          <w:color w:val="000000"/>
          <w:sz w:val="32"/>
          <w:szCs w:val="32"/>
        </w:rPr>
        <w:t>、莲寨社区共</w:t>
      </w:r>
      <w:r>
        <w:rPr>
          <w:rFonts w:hint="eastAsia" w:ascii="仿宋" w:hAnsi="仿宋" w:eastAsia="仿宋"/>
          <w:color w:val="000000"/>
          <w:sz w:val="32"/>
          <w:szCs w:val="32"/>
          <w:lang w:val="en-US" w:eastAsia="zh-CN"/>
        </w:rPr>
        <w:t>6</w:t>
      </w:r>
      <w:r>
        <w:rPr>
          <w:rFonts w:hint="eastAsia" w:ascii="仿宋" w:hAnsi="仿宋" w:eastAsia="仿宋"/>
          <w:color w:val="000000"/>
          <w:sz w:val="32"/>
          <w:szCs w:val="32"/>
        </w:rPr>
        <w:t>个村委会</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个社区。</w:t>
      </w:r>
    </w:p>
    <w:p>
      <w:pPr>
        <w:pStyle w:val="5"/>
        <w:pageBreakBefore w:val="0"/>
        <w:kinsoku/>
        <w:wordWrap/>
        <w:overflowPunct/>
        <w:topLinePunct w:val="0"/>
        <w:bidi w:val="0"/>
        <w:adjustRightInd w:val="0"/>
        <w:snapToGrid w:val="0"/>
        <w:spacing w:beforeLines="0" w:line="578" w:lineRule="exact"/>
        <w:ind w:firstLine="672" w:firstLineChars="210"/>
        <w:textAlignment w:val="auto"/>
        <w:rPr>
          <w:rFonts w:ascii="仿宋" w:hAnsi="仿宋" w:eastAsia="仿宋"/>
          <w:color w:val="000000"/>
          <w:sz w:val="32"/>
          <w:szCs w:val="32"/>
        </w:rPr>
      </w:pPr>
      <w:r>
        <w:rPr>
          <w:rFonts w:hint="eastAsia" w:ascii="仿宋" w:hAnsi="仿宋" w:eastAsia="仿宋"/>
          <w:color w:val="000000"/>
          <w:sz w:val="32"/>
          <w:szCs w:val="32"/>
        </w:rPr>
        <w:t>桃花镇人民政府下属二级单位</w:t>
      </w:r>
      <w:r>
        <w:rPr>
          <w:rFonts w:ascii="仿宋" w:hAnsi="仿宋" w:eastAsia="仿宋"/>
          <w:color w:val="000000"/>
          <w:sz w:val="32"/>
          <w:szCs w:val="32"/>
        </w:rPr>
        <w:t>2</w:t>
      </w:r>
      <w:r>
        <w:rPr>
          <w:rFonts w:hint="eastAsia" w:ascii="仿宋" w:hAnsi="仿宋" w:eastAsia="仿宋"/>
          <w:color w:val="000000"/>
          <w:sz w:val="32"/>
          <w:szCs w:val="32"/>
        </w:rPr>
        <w:t>个，其中行政单位</w:t>
      </w:r>
      <w:r>
        <w:rPr>
          <w:rFonts w:ascii="仿宋" w:hAnsi="仿宋" w:eastAsia="仿宋"/>
          <w:color w:val="000000"/>
          <w:sz w:val="32"/>
          <w:szCs w:val="32"/>
        </w:rPr>
        <w:t>1</w:t>
      </w:r>
      <w:r>
        <w:rPr>
          <w:rFonts w:hint="eastAsia" w:ascii="仿宋" w:hAnsi="仿宋" w:eastAsia="仿宋"/>
          <w:color w:val="000000"/>
          <w:sz w:val="32"/>
          <w:szCs w:val="32"/>
        </w:rPr>
        <w:t>个，参照公务员法管理的事业单位</w:t>
      </w:r>
      <w:r>
        <w:rPr>
          <w:rFonts w:ascii="仿宋" w:hAnsi="仿宋" w:eastAsia="仿宋"/>
          <w:bCs/>
          <w:color w:val="000000"/>
          <w:sz w:val="32"/>
          <w:szCs w:val="32"/>
        </w:rPr>
        <w:t>0</w:t>
      </w:r>
      <w:r>
        <w:rPr>
          <w:rFonts w:hint="eastAsia" w:ascii="仿宋" w:hAnsi="仿宋" w:eastAsia="仿宋"/>
          <w:color w:val="000000"/>
          <w:sz w:val="32"/>
          <w:szCs w:val="32"/>
        </w:rPr>
        <w:t>个，其他事业单位</w:t>
      </w:r>
      <w:r>
        <w:rPr>
          <w:rFonts w:ascii="仿宋" w:hAnsi="仿宋" w:eastAsia="仿宋"/>
          <w:color w:val="000000"/>
          <w:sz w:val="32"/>
          <w:szCs w:val="32"/>
        </w:rPr>
        <w:t>1</w:t>
      </w:r>
      <w:r>
        <w:rPr>
          <w:rFonts w:hint="eastAsia" w:ascii="仿宋" w:hAnsi="仿宋" w:eastAsia="仿宋"/>
          <w:color w:val="000000"/>
          <w:sz w:val="32"/>
          <w:szCs w:val="32"/>
        </w:rPr>
        <w:t>个。</w:t>
      </w:r>
    </w:p>
    <w:p>
      <w:pPr>
        <w:pStyle w:val="5"/>
        <w:pageBreakBefore w:val="0"/>
        <w:kinsoku/>
        <w:wordWrap/>
        <w:overflowPunct/>
        <w:topLinePunct w:val="0"/>
        <w:bidi w:val="0"/>
        <w:adjustRightInd w:val="0"/>
        <w:snapToGrid w:val="0"/>
        <w:spacing w:beforeLines="0" w:line="578" w:lineRule="exact"/>
        <w:ind w:firstLine="672" w:firstLineChars="210"/>
        <w:textAlignment w:val="auto"/>
        <w:rPr>
          <w:rFonts w:ascii="仿宋" w:hAnsi="仿宋" w:eastAsia="仿宋"/>
          <w:color w:val="000000"/>
          <w:sz w:val="32"/>
          <w:szCs w:val="32"/>
        </w:rPr>
      </w:pPr>
      <w:r>
        <w:rPr>
          <w:rFonts w:hint="eastAsia" w:ascii="仿宋" w:hAnsi="仿宋" w:eastAsia="仿宋"/>
          <w:color w:val="000000"/>
          <w:sz w:val="32"/>
          <w:szCs w:val="32"/>
        </w:rPr>
        <w:t>纳入桃花镇</w:t>
      </w:r>
      <w:r>
        <w:rPr>
          <w:rFonts w:ascii="仿宋" w:hAnsi="仿宋" w:eastAsia="仿宋"/>
          <w:color w:val="000000"/>
          <w:sz w:val="32"/>
          <w:szCs w:val="32"/>
        </w:rPr>
        <w:t>201</w:t>
      </w: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年度部门决算编制范围的二级预算单位包括：</w:t>
      </w:r>
    </w:p>
    <w:p>
      <w:pPr>
        <w:pStyle w:val="5"/>
        <w:pageBreakBefore w:val="0"/>
        <w:numPr>
          <w:ilvl w:val="0"/>
          <w:numId w:val="1"/>
        </w:numPr>
        <w:kinsoku/>
        <w:wordWrap/>
        <w:overflowPunct/>
        <w:topLinePunct w:val="0"/>
        <w:bidi w:val="0"/>
        <w:adjustRightInd w:val="0"/>
        <w:snapToGrid w:val="0"/>
        <w:spacing w:beforeLines="0" w:line="578" w:lineRule="exact"/>
        <w:textAlignment w:val="auto"/>
        <w:outlineLvl w:val="2"/>
        <w:rPr>
          <w:rFonts w:ascii="仿宋" w:hAnsi="仿宋" w:eastAsia="仿宋"/>
          <w:color w:val="000000"/>
          <w:sz w:val="32"/>
          <w:szCs w:val="32"/>
        </w:rPr>
      </w:pPr>
      <w:bookmarkStart w:id="31" w:name="_Toc31768"/>
      <w:r>
        <w:rPr>
          <w:rFonts w:hint="eastAsia" w:ascii="仿宋" w:hAnsi="仿宋" w:eastAsia="仿宋"/>
          <w:color w:val="000000"/>
          <w:sz w:val="32"/>
          <w:szCs w:val="32"/>
        </w:rPr>
        <w:t>行政单位</w:t>
      </w:r>
      <w:r>
        <w:rPr>
          <w:rFonts w:ascii="仿宋" w:hAnsi="仿宋" w:eastAsia="仿宋"/>
          <w:color w:val="000000"/>
          <w:sz w:val="32"/>
          <w:szCs w:val="32"/>
        </w:rPr>
        <w:t>1</w:t>
      </w:r>
      <w:r>
        <w:rPr>
          <w:rFonts w:hint="eastAsia" w:ascii="仿宋" w:hAnsi="仿宋" w:eastAsia="仿宋"/>
          <w:color w:val="000000"/>
          <w:sz w:val="32"/>
          <w:szCs w:val="32"/>
        </w:rPr>
        <w:t>个；</w:t>
      </w:r>
      <w:bookmarkEnd w:id="31"/>
    </w:p>
    <w:p>
      <w:pPr>
        <w:pStyle w:val="5"/>
        <w:pageBreakBefore w:val="0"/>
        <w:numPr>
          <w:ilvl w:val="0"/>
          <w:numId w:val="1"/>
        </w:numPr>
        <w:kinsoku/>
        <w:wordWrap/>
        <w:overflowPunct/>
        <w:topLinePunct w:val="0"/>
        <w:bidi w:val="0"/>
        <w:adjustRightInd w:val="0"/>
        <w:snapToGrid w:val="0"/>
        <w:spacing w:beforeLines="0" w:line="578" w:lineRule="exact"/>
        <w:textAlignment w:val="auto"/>
        <w:outlineLvl w:val="2"/>
        <w:rPr>
          <w:rFonts w:ascii="仿宋" w:hAnsi="仿宋" w:eastAsia="仿宋"/>
          <w:color w:val="000000"/>
          <w:sz w:val="32"/>
          <w:szCs w:val="32"/>
        </w:rPr>
      </w:pPr>
      <w:bookmarkStart w:id="32" w:name="_Toc15377203"/>
      <w:bookmarkStart w:id="33" w:name="_Toc15377434"/>
      <w:bookmarkStart w:id="34" w:name="_Toc15378450"/>
      <w:bookmarkStart w:id="35" w:name="_Toc15306277"/>
      <w:bookmarkStart w:id="36" w:name="_Toc23046"/>
      <w:r>
        <w:rPr>
          <w:rFonts w:hint="eastAsia" w:ascii="仿宋" w:hAnsi="仿宋" w:eastAsia="仿宋"/>
          <w:color w:val="000000"/>
          <w:sz w:val="32"/>
          <w:szCs w:val="32"/>
        </w:rPr>
        <w:t>事业单位便民中心</w:t>
      </w:r>
      <w:bookmarkEnd w:id="32"/>
      <w:bookmarkEnd w:id="33"/>
      <w:bookmarkEnd w:id="34"/>
      <w:bookmarkEnd w:id="35"/>
      <w:r>
        <w:rPr>
          <w:rFonts w:ascii="仿宋" w:hAnsi="仿宋" w:eastAsia="仿宋"/>
          <w:color w:val="000000"/>
          <w:sz w:val="32"/>
          <w:szCs w:val="32"/>
        </w:rPr>
        <w:t>1</w:t>
      </w:r>
      <w:r>
        <w:rPr>
          <w:rFonts w:hint="eastAsia" w:ascii="仿宋" w:hAnsi="仿宋" w:eastAsia="仿宋"/>
          <w:color w:val="000000"/>
          <w:sz w:val="32"/>
          <w:szCs w:val="32"/>
        </w:rPr>
        <w:t>个</w:t>
      </w:r>
      <w:bookmarkEnd w:id="36"/>
    </w:p>
    <w:p>
      <w:pPr>
        <w:pageBreakBefore w:val="0"/>
        <w:widowControl/>
        <w:kinsoku/>
        <w:wordWrap/>
        <w:overflowPunct/>
        <w:topLinePunct w:val="0"/>
        <w:bidi w:val="0"/>
        <w:spacing w:line="578" w:lineRule="exact"/>
        <w:jc w:val="left"/>
        <w:textAlignment w:val="auto"/>
        <w:rPr>
          <w:rFonts w:ascii="仿宋" w:hAnsi="仿宋" w:eastAsia="仿宋"/>
          <w:color w:val="000000"/>
          <w:kern w:val="0"/>
          <w:sz w:val="32"/>
          <w:szCs w:val="32"/>
        </w:rPr>
      </w:pPr>
    </w:p>
    <w:p>
      <w:pPr>
        <w:pageBreakBefore w:val="0"/>
        <w:widowControl/>
        <w:kinsoku/>
        <w:wordWrap/>
        <w:overflowPunct/>
        <w:topLinePunct w:val="0"/>
        <w:bidi w:val="0"/>
        <w:spacing w:line="578" w:lineRule="exact"/>
        <w:jc w:val="left"/>
        <w:textAlignment w:val="auto"/>
        <w:rPr>
          <w:rFonts w:ascii="仿宋" w:hAnsi="仿宋" w:eastAsia="仿宋"/>
          <w:color w:val="000000"/>
          <w:kern w:val="0"/>
          <w:sz w:val="32"/>
          <w:szCs w:val="32"/>
        </w:rPr>
      </w:pPr>
    </w:p>
    <w:p>
      <w:pPr>
        <w:pStyle w:val="2"/>
        <w:pageBreakBefore w:val="0"/>
        <w:widowControl w:val="0"/>
        <w:kinsoku/>
        <w:wordWrap/>
        <w:overflowPunct/>
        <w:topLinePunct w:val="0"/>
        <w:autoSpaceDE/>
        <w:autoSpaceDN/>
        <w:bidi w:val="0"/>
        <w:adjustRightInd/>
        <w:snapToGrid/>
        <w:spacing w:before="0" w:after="0" w:line="579" w:lineRule="exact"/>
        <w:ind w:right="440"/>
        <w:jc w:val="right"/>
        <w:textAlignment w:val="auto"/>
        <w:rPr>
          <w:rFonts w:hint="eastAsia" w:ascii="方正小标宋简体" w:hAnsi="方正小标宋简体" w:eastAsia="方正小标宋简体" w:cs="方正小标宋简体"/>
          <w:b w:val="0"/>
          <w:color w:val="000000"/>
        </w:rPr>
      </w:pPr>
      <w:bookmarkStart w:id="37" w:name="_Toc15377204"/>
      <w:bookmarkStart w:id="38" w:name="_Toc16618"/>
      <w:bookmarkStart w:id="39" w:name="_Toc15396602"/>
    </w:p>
    <w:p>
      <w:pPr>
        <w:pStyle w:val="2"/>
        <w:pageBreakBefore w:val="0"/>
        <w:widowControl w:val="0"/>
        <w:kinsoku/>
        <w:wordWrap/>
        <w:overflowPunct/>
        <w:topLinePunct w:val="0"/>
        <w:autoSpaceDE/>
        <w:autoSpaceDN/>
        <w:bidi w:val="0"/>
        <w:adjustRightInd/>
        <w:snapToGrid/>
        <w:spacing w:before="0" w:after="0" w:line="579" w:lineRule="exact"/>
        <w:ind w:right="440"/>
        <w:jc w:val="right"/>
        <w:textAlignment w:val="auto"/>
        <w:rPr>
          <w:rStyle w:val="24"/>
          <w:rFonts w:hint="eastAsia"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color w:val="000000"/>
        </w:rPr>
        <w:t>第二部分</w:t>
      </w:r>
      <w:r>
        <w:rPr>
          <w:rFonts w:hint="eastAsia" w:ascii="方正小标宋简体" w:hAnsi="方正小标宋简体" w:eastAsia="方正小标宋简体" w:cs="方正小标宋简体"/>
          <w:color w:val="000000"/>
        </w:rPr>
        <w:t xml:space="preserve"> </w:t>
      </w:r>
      <w:r>
        <w:rPr>
          <w:rStyle w:val="24"/>
          <w:rFonts w:hint="eastAsia" w:ascii="方正小标宋简体" w:hAnsi="方正小标宋简体" w:eastAsia="方正小标宋简体" w:cs="方正小标宋简体"/>
          <w:b w:val="0"/>
          <w:bCs w:val="0"/>
        </w:rPr>
        <w:t>2019年度部门决算情况说明</w:t>
      </w:r>
      <w:bookmarkEnd w:id="37"/>
      <w:bookmarkEnd w:id="38"/>
      <w:bookmarkEnd w:id="39"/>
    </w:p>
    <w:p>
      <w:pPr>
        <w:pageBreakBefore w:val="0"/>
        <w:widowControl w:val="0"/>
        <w:kinsoku/>
        <w:wordWrap/>
        <w:overflowPunct/>
        <w:topLinePunct w:val="0"/>
        <w:autoSpaceDE/>
        <w:autoSpaceDN/>
        <w:bidi w:val="0"/>
        <w:adjustRightInd/>
        <w:snapToGrid/>
        <w:spacing w:line="579" w:lineRule="exact"/>
        <w:textAlignment w:val="auto"/>
      </w:pPr>
    </w:p>
    <w:p>
      <w:pPr>
        <w:pStyle w:val="23"/>
        <w:pageBreakBefore w:val="0"/>
        <w:widowControl w:val="0"/>
        <w:numPr>
          <w:ilvl w:val="0"/>
          <w:numId w:val="2"/>
        </w:numPr>
        <w:kinsoku/>
        <w:wordWrap/>
        <w:overflowPunct/>
        <w:topLinePunct w:val="0"/>
        <w:autoSpaceDE/>
        <w:autoSpaceDN/>
        <w:bidi w:val="0"/>
        <w:adjustRightInd/>
        <w:snapToGrid/>
        <w:spacing w:line="579" w:lineRule="exact"/>
        <w:ind w:firstLineChars="0"/>
        <w:textAlignment w:val="auto"/>
        <w:outlineLvl w:val="1"/>
        <w:rPr>
          <w:rStyle w:val="25"/>
          <w:rFonts w:ascii="黑体" w:hAnsi="黑体" w:eastAsia="黑体"/>
          <w:b w:val="0"/>
        </w:rPr>
      </w:pPr>
      <w:bookmarkStart w:id="40" w:name="_Toc15377205"/>
      <w:bookmarkStart w:id="41" w:name="_Toc15396603"/>
      <w:bookmarkStart w:id="42" w:name="_Toc2271"/>
      <w:r>
        <w:rPr>
          <w:rFonts w:hint="eastAsia" w:ascii="黑体" w:hAnsi="黑体" w:eastAsia="黑体"/>
          <w:color w:val="000000"/>
          <w:sz w:val="32"/>
          <w:szCs w:val="32"/>
        </w:rPr>
        <w:t>收</w:t>
      </w:r>
      <w:r>
        <w:rPr>
          <w:rStyle w:val="25"/>
          <w:rFonts w:hint="eastAsia" w:ascii="黑体" w:hAnsi="黑体" w:eastAsia="黑体"/>
          <w:b w:val="0"/>
        </w:rPr>
        <w:t>入支出决算总体情况说明</w:t>
      </w:r>
      <w:bookmarkEnd w:id="40"/>
      <w:bookmarkEnd w:id="41"/>
      <w:bookmarkEnd w:id="42"/>
    </w:p>
    <w:p>
      <w:pPr>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 w:hAnsi="仿宋" w:eastAsia="仿宋"/>
          <w:color w:val="000000"/>
          <w:sz w:val="32"/>
          <w:szCs w:val="32"/>
          <w:lang w:eastAsia="zh-CN"/>
        </w:rPr>
      </w:pPr>
      <w:r>
        <w:rPr>
          <w:rFonts w:hint="eastAsia" w:ascii="仿宋" w:hAnsi="仿宋" w:eastAsia="仿宋"/>
          <w:color w:val="000000"/>
          <w:sz w:val="32"/>
          <w:szCs w:val="32"/>
        </w:rPr>
        <w:t>2019年度收、支总计</w:t>
      </w:r>
      <w:r>
        <w:rPr>
          <w:rFonts w:hint="eastAsia" w:ascii="仿宋" w:hAnsi="仿宋" w:eastAsia="仿宋"/>
          <w:color w:val="000000"/>
          <w:sz w:val="32"/>
          <w:szCs w:val="32"/>
          <w:lang w:val="en-US" w:eastAsia="zh-CN"/>
        </w:rPr>
        <w:t>852.41</w:t>
      </w:r>
      <w:r>
        <w:rPr>
          <w:rFonts w:hint="eastAsia" w:ascii="仿宋" w:hAnsi="仿宋" w:eastAsia="仿宋"/>
          <w:color w:val="000000"/>
          <w:sz w:val="32"/>
          <w:szCs w:val="32"/>
        </w:rPr>
        <w:t>万元。与2018年相比，收、支总计各增加</w:t>
      </w:r>
      <w:r>
        <w:rPr>
          <w:rFonts w:hint="eastAsia" w:ascii="仿宋" w:hAnsi="仿宋" w:eastAsia="仿宋"/>
          <w:color w:val="000000"/>
          <w:sz w:val="32"/>
          <w:szCs w:val="32"/>
          <w:lang w:val="en-US" w:eastAsia="zh-CN"/>
        </w:rPr>
        <w:t>23.39</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3</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预算基数增加。</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drawing>
          <wp:anchor distT="0" distB="0" distL="114300" distR="114300" simplePos="0" relativeHeight="251658240" behindDoc="1" locked="0" layoutInCell="1" allowOverlap="1">
            <wp:simplePos x="0" y="0"/>
            <wp:positionH relativeFrom="column">
              <wp:posOffset>201295</wp:posOffset>
            </wp:positionH>
            <wp:positionV relativeFrom="paragraph">
              <wp:posOffset>193675</wp:posOffset>
            </wp:positionV>
            <wp:extent cx="5080000" cy="3810000"/>
            <wp:effectExtent l="4445" t="4445" r="20955" b="14605"/>
            <wp:wrapNone/>
            <wp:docPr id="8" name="图表 8"/>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anchor>
        </w:drawing>
      </w: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1200" w:firstLineChars="400"/>
        <w:textAlignment w:val="auto"/>
        <w:rPr>
          <w:rFonts w:ascii="仿宋_GB2312" w:eastAsia="仿宋_GB2312"/>
          <w:color w:val="000000"/>
          <w:sz w:val="32"/>
          <w:szCs w:val="32"/>
        </w:rPr>
      </w:pPr>
      <w:r>
        <w:rPr>
          <w:rFonts w:hint="eastAsia" w:ascii="仿宋" w:hAnsi="仿宋" w:eastAsia="仿宋"/>
          <w:color w:val="000000" w:themeColor="text1"/>
          <w:sz w:val="30"/>
          <w:szCs w:val="30"/>
          <w:lang w:eastAsia="zh-CN"/>
          <w14:textFill>
            <w14:solidFill>
              <w14:schemeClr w14:val="tx1"/>
            </w14:solidFill>
          </w14:textFill>
        </w:rPr>
        <w:t>（</w:t>
      </w:r>
      <w:r>
        <w:rPr>
          <w:rFonts w:hint="eastAsia" w:ascii="仿宋" w:hAnsi="仿宋" w:eastAsia="仿宋"/>
          <w:color w:val="000000" w:themeColor="text1"/>
          <w:sz w:val="30"/>
          <w:szCs w:val="30"/>
          <w14:textFill>
            <w14:solidFill>
              <w14:schemeClr w14:val="tx1"/>
            </w14:solidFill>
          </w14:textFill>
        </w:rPr>
        <w:t>图</w:t>
      </w:r>
      <w:r>
        <w:rPr>
          <w:rFonts w:ascii="仿宋" w:hAnsi="仿宋" w:eastAsia="仿宋"/>
          <w:color w:val="000000" w:themeColor="text1"/>
          <w:sz w:val="30"/>
          <w:szCs w:val="30"/>
          <w14:textFill>
            <w14:solidFill>
              <w14:schemeClr w14:val="tx1"/>
            </w14:solidFill>
          </w14:textFill>
        </w:rPr>
        <w:t>1</w:t>
      </w:r>
      <w:r>
        <w:rPr>
          <w:rFonts w:hint="eastAsia" w:ascii="仿宋" w:hAnsi="仿宋" w:eastAsia="仿宋"/>
          <w:color w:val="000000" w:themeColor="text1"/>
          <w:sz w:val="30"/>
          <w:szCs w:val="30"/>
          <w14:textFill>
            <w14:solidFill>
              <w14:schemeClr w14:val="tx1"/>
            </w14:solidFill>
          </w14:textFill>
        </w:rPr>
        <w:t>：收、支决算总计变动情况图）（柱状图）</w:t>
      </w:r>
    </w:p>
    <w:p>
      <w:pPr>
        <w:pStyle w:val="23"/>
        <w:pageBreakBefore w:val="0"/>
        <w:numPr>
          <w:ilvl w:val="0"/>
          <w:numId w:val="2"/>
        </w:numPr>
        <w:kinsoku/>
        <w:wordWrap/>
        <w:overflowPunct/>
        <w:topLinePunct w:val="0"/>
        <w:bidi w:val="0"/>
        <w:spacing w:line="578" w:lineRule="exact"/>
        <w:ind w:firstLineChars="0"/>
        <w:textAlignment w:val="auto"/>
        <w:outlineLvl w:val="1"/>
        <w:rPr>
          <w:rStyle w:val="25"/>
          <w:rFonts w:ascii="黑体" w:hAnsi="黑体" w:eastAsia="黑体"/>
          <w:b w:val="0"/>
        </w:rPr>
      </w:pPr>
      <w:bookmarkStart w:id="43" w:name="_Toc32528"/>
      <w:bookmarkStart w:id="44" w:name="_Toc15377206"/>
      <w:bookmarkStart w:id="45" w:name="_Toc15396604"/>
      <w:r>
        <w:rPr>
          <w:rFonts w:hint="eastAsia" w:ascii="黑体" w:hAnsi="黑体" w:eastAsia="黑体"/>
          <w:color w:val="000000"/>
          <w:sz w:val="32"/>
          <w:szCs w:val="32"/>
        </w:rPr>
        <w:t>收</w:t>
      </w:r>
      <w:r>
        <w:rPr>
          <w:rStyle w:val="25"/>
          <w:rFonts w:hint="eastAsia" w:ascii="黑体" w:hAnsi="黑体" w:eastAsia="黑体"/>
          <w:b w:val="0"/>
        </w:rPr>
        <w:t>入决算情况说明</w:t>
      </w:r>
      <w:bookmarkEnd w:id="43"/>
      <w:bookmarkEnd w:id="44"/>
      <w:bookmarkEnd w:id="45"/>
    </w:p>
    <w:p>
      <w:pPr>
        <w:pageBreakBefore w:val="0"/>
        <w:kinsoku/>
        <w:wordWrap/>
        <w:overflowPunct/>
        <w:topLinePunct w:val="0"/>
        <w:bidi w:val="0"/>
        <w:spacing w:line="578" w:lineRule="exact"/>
        <w:ind w:firstLine="640" w:firstLineChars="200"/>
        <w:textAlignment w:val="auto"/>
        <w:outlineLvl w:val="1"/>
        <w:rPr>
          <w:rFonts w:hint="eastAsia" w:ascii="仿宋" w:hAnsi="仿宋" w:eastAsia="仿宋"/>
          <w:color w:val="000000"/>
          <w:sz w:val="32"/>
          <w:szCs w:val="32"/>
          <w:lang w:eastAsia="zh-CN"/>
        </w:rPr>
      </w:pPr>
      <w:bookmarkStart w:id="46" w:name="_Toc9855"/>
      <w:r>
        <w:rPr>
          <w:rFonts w:ascii="仿宋" w:hAnsi="仿宋" w:eastAsia="仿宋"/>
          <w:color w:val="000000"/>
          <w:sz w:val="32"/>
          <w:szCs w:val="32"/>
        </w:rPr>
        <w:t>201</w:t>
      </w:r>
      <w:r>
        <w:rPr>
          <w:rFonts w:hint="eastAsia" w:ascii="仿宋" w:hAnsi="仿宋" w:eastAsia="仿宋"/>
          <w:color w:val="000000"/>
          <w:sz w:val="32"/>
          <w:szCs w:val="32"/>
        </w:rPr>
        <w:t>9年本年收入合计</w:t>
      </w:r>
      <w:r>
        <w:rPr>
          <w:rFonts w:hint="eastAsia" w:ascii="仿宋" w:hAnsi="仿宋" w:eastAsia="仿宋"/>
          <w:color w:val="000000"/>
          <w:sz w:val="32"/>
          <w:szCs w:val="32"/>
          <w:lang w:val="en-US" w:eastAsia="zh-CN"/>
        </w:rPr>
        <w:t>852.41</w:t>
      </w:r>
      <w:r>
        <w:rPr>
          <w:rFonts w:hint="eastAsia" w:ascii="仿宋" w:hAnsi="仿宋" w:eastAsia="仿宋"/>
          <w:color w:val="000000"/>
          <w:sz w:val="32"/>
          <w:szCs w:val="32"/>
        </w:rPr>
        <w:t>万元，其中：一般公共预算财政拨款收入</w:t>
      </w:r>
      <w:r>
        <w:rPr>
          <w:rFonts w:hint="eastAsia" w:ascii="仿宋" w:hAnsi="仿宋" w:eastAsia="仿宋"/>
          <w:color w:val="000000"/>
          <w:sz w:val="32"/>
          <w:szCs w:val="32"/>
          <w:lang w:val="en-US" w:eastAsia="zh-CN"/>
        </w:rPr>
        <w:t>821.41</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96.36</w:t>
      </w:r>
      <w:r>
        <w:rPr>
          <w:rFonts w:ascii="仿宋" w:hAnsi="仿宋" w:eastAsia="仿宋"/>
          <w:color w:val="000000"/>
          <w:sz w:val="32"/>
          <w:szCs w:val="32"/>
        </w:rPr>
        <w:t>%</w:t>
      </w:r>
      <w:r>
        <w:rPr>
          <w:rFonts w:hint="eastAsia" w:ascii="仿宋" w:hAnsi="仿宋" w:eastAsia="仿宋"/>
          <w:color w:val="000000"/>
          <w:sz w:val="32"/>
          <w:szCs w:val="32"/>
        </w:rPr>
        <w:t>；政府性基金预算财政拨款</w:t>
      </w:r>
      <w:bookmarkStart w:id="47" w:name="_Toc30108"/>
      <w:r>
        <w:drawing>
          <wp:anchor distT="0" distB="0" distL="114300" distR="114300" simplePos="0" relativeHeight="251659264" behindDoc="1" locked="0" layoutInCell="1" allowOverlap="1">
            <wp:simplePos x="0" y="0"/>
            <wp:positionH relativeFrom="column">
              <wp:posOffset>575310</wp:posOffset>
            </wp:positionH>
            <wp:positionV relativeFrom="paragraph">
              <wp:posOffset>353695</wp:posOffset>
            </wp:positionV>
            <wp:extent cx="4353560" cy="2620010"/>
            <wp:effectExtent l="4445" t="4445" r="15875" b="12065"/>
            <wp:wrapNone/>
            <wp:docPr id="5"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bookmarkEnd w:id="47"/>
      <w:r>
        <w:rPr>
          <w:rFonts w:hint="eastAsia" w:ascii="仿宋" w:hAnsi="仿宋" w:eastAsia="仿宋"/>
          <w:color w:val="000000"/>
          <w:sz w:val="32"/>
          <w:szCs w:val="32"/>
        </w:rPr>
        <w:t>收入</w:t>
      </w:r>
      <w:r>
        <w:rPr>
          <w:rFonts w:hint="eastAsia" w:ascii="仿宋" w:hAnsi="仿宋" w:eastAsia="仿宋"/>
          <w:color w:val="000000"/>
          <w:sz w:val="32"/>
          <w:szCs w:val="32"/>
          <w:lang w:val="en-US" w:eastAsia="zh-CN"/>
        </w:rPr>
        <w:t>31</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3.64</w:t>
      </w:r>
      <w:r>
        <w:rPr>
          <w:rFonts w:ascii="仿宋" w:hAnsi="仿宋" w:eastAsia="仿宋"/>
          <w:color w:val="000000"/>
          <w:sz w:val="32"/>
          <w:szCs w:val="32"/>
        </w:rPr>
        <w:t>%</w:t>
      </w:r>
      <w:r>
        <w:rPr>
          <w:rFonts w:hint="eastAsia" w:ascii="仿宋" w:hAnsi="仿宋" w:eastAsia="仿宋"/>
          <w:color w:val="000000"/>
          <w:sz w:val="32"/>
          <w:szCs w:val="32"/>
        </w:rPr>
        <w:t>。</w:t>
      </w:r>
      <w:bookmarkEnd w:id="46"/>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1500" w:firstLineChars="500"/>
        <w:jc w:val="both"/>
        <w:textAlignment w:val="auto"/>
        <w:rPr>
          <w:rFonts w:ascii="仿宋_GB2312" w:eastAsia="仿宋_GB2312"/>
          <w:color w:val="FF0000"/>
          <w:sz w:val="32"/>
          <w:szCs w:val="32"/>
        </w:rPr>
      </w:pPr>
      <w:r>
        <w:rPr>
          <w:rFonts w:hint="eastAsia" w:ascii="仿宋" w:hAnsi="仿宋" w:eastAsia="仿宋"/>
          <w:color w:val="000000" w:themeColor="text1"/>
          <w:sz w:val="30"/>
          <w:szCs w:val="30"/>
          <w14:textFill>
            <w14:solidFill>
              <w14:schemeClr w14:val="tx1"/>
            </w14:solidFill>
          </w14:textFill>
        </w:rPr>
        <w:t>（图2：收入决算结构图）（饼状图）</w:t>
      </w:r>
    </w:p>
    <w:p>
      <w:pPr>
        <w:pStyle w:val="23"/>
        <w:pageBreakBefore w:val="0"/>
        <w:numPr>
          <w:ilvl w:val="0"/>
          <w:numId w:val="2"/>
        </w:numPr>
        <w:kinsoku/>
        <w:wordWrap/>
        <w:overflowPunct/>
        <w:topLinePunct w:val="0"/>
        <w:bidi w:val="0"/>
        <w:spacing w:line="578" w:lineRule="exact"/>
        <w:ind w:firstLineChars="0"/>
        <w:textAlignment w:val="auto"/>
        <w:outlineLvl w:val="1"/>
        <w:rPr>
          <w:rStyle w:val="25"/>
          <w:rFonts w:ascii="黑体" w:hAnsi="黑体" w:eastAsia="黑体"/>
          <w:b w:val="0"/>
        </w:rPr>
      </w:pPr>
      <w:bookmarkStart w:id="48" w:name="_Toc19897"/>
      <w:bookmarkStart w:id="49" w:name="_Toc15377207"/>
      <w:bookmarkStart w:id="50" w:name="_Toc15396605"/>
      <w:r>
        <w:rPr>
          <w:rFonts w:hint="eastAsia" w:ascii="黑体" w:hAnsi="黑体" w:eastAsia="黑体"/>
          <w:color w:val="000000"/>
          <w:sz w:val="32"/>
          <w:szCs w:val="32"/>
        </w:rPr>
        <w:t>支</w:t>
      </w:r>
      <w:r>
        <w:rPr>
          <w:rStyle w:val="25"/>
          <w:rFonts w:hint="eastAsia" w:ascii="黑体" w:hAnsi="黑体" w:eastAsia="黑体"/>
          <w:b w:val="0"/>
        </w:rPr>
        <w:t>出决算情况说明</w:t>
      </w:r>
      <w:bookmarkEnd w:id="48"/>
      <w:bookmarkEnd w:id="49"/>
      <w:bookmarkEnd w:id="50"/>
    </w:p>
    <w:p>
      <w:pPr>
        <w:pageBreakBefore w:val="0"/>
        <w:kinsoku/>
        <w:wordWrap/>
        <w:overflowPunct/>
        <w:topLinePunct w:val="0"/>
        <w:bidi w:val="0"/>
        <w:spacing w:line="578" w:lineRule="exact"/>
        <w:ind w:firstLine="640" w:firstLineChars="200"/>
        <w:textAlignment w:val="auto"/>
        <w:outlineLvl w:val="1"/>
        <w:rPr>
          <w:rFonts w:hint="eastAsia" w:ascii="仿宋" w:hAnsi="仿宋" w:eastAsia="仿宋"/>
          <w:color w:val="000000"/>
          <w:sz w:val="32"/>
          <w:szCs w:val="32"/>
        </w:rPr>
      </w:pPr>
      <w:bookmarkStart w:id="51" w:name="_Toc29687"/>
      <w:r>
        <w:rPr>
          <w:rFonts w:ascii="仿宋" w:hAnsi="仿宋" w:eastAsia="仿宋"/>
          <w:color w:val="000000"/>
          <w:sz w:val="32"/>
          <w:szCs w:val="32"/>
        </w:rPr>
        <w:t>201</w:t>
      </w:r>
      <w:r>
        <w:rPr>
          <w:rFonts w:hint="eastAsia" w:ascii="仿宋" w:hAnsi="仿宋" w:eastAsia="仿宋"/>
          <w:color w:val="000000"/>
          <w:sz w:val="32"/>
          <w:szCs w:val="32"/>
        </w:rPr>
        <w:t>9年本年支出合计</w:t>
      </w:r>
      <w:r>
        <w:rPr>
          <w:rFonts w:hint="eastAsia" w:ascii="仿宋" w:hAnsi="仿宋" w:eastAsia="仿宋"/>
          <w:color w:val="000000"/>
          <w:sz w:val="32"/>
          <w:szCs w:val="32"/>
          <w:lang w:val="en-US" w:eastAsia="zh-CN"/>
        </w:rPr>
        <w:t>852.41</w:t>
      </w:r>
      <w:r>
        <w:rPr>
          <w:rFonts w:hint="eastAsia" w:ascii="仿宋" w:hAnsi="仿宋" w:eastAsia="仿宋"/>
          <w:color w:val="000000"/>
          <w:sz w:val="32"/>
          <w:szCs w:val="32"/>
        </w:rPr>
        <w:t>万元，其中：基本支出</w:t>
      </w:r>
      <w:r>
        <w:rPr>
          <w:rFonts w:hint="eastAsia" w:ascii="仿宋" w:hAnsi="仿宋" w:eastAsia="仿宋"/>
          <w:color w:val="000000"/>
          <w:sz w:val="32"/>
          <w:szCs w:val="32"/>
          <w:lang w:val="en-US" w:eastAsia="zh-CN"/>
        </w:rPr>
        <w:t>661.56</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77.61</w:t>
      </w:r>
      <w:r>
        <w:rPr>
          <w:rFonts w:ascii="仿宋" w:hAnsi="仿宋" w:eastAsia="仿宋"/>
          <w:color w:val="000000"/>
          <w:sz w:val="32"/>
          <w:szCs w:val="32"/>
        </w:rPr>
        <w:t>%</w:t>
      </w:r>
      <w:r>
        <w:rPr>
          <w:rFonts w:hint="eastAsia" w:ascii="仿宋" w:hAnsi="仿宋" w:eastAsia="仿宋"/>
          <w:color w:val="000000"/>
          <w:sz w:val="32"/>
          <w:szCs w:val="32"/>
        </w:rPr>
        <w:t>；项目支出</w:t>
      </w:r>
      <w:r>
        <w:rPr>
          <w:rFonts w:hint="eastAsia" w:ascii="仿宋" w:hAnsi="仿宋" w:eastAsia="仿宋"/>
          <w:color w:val="000000"/>
          <w:sz w:val="32"/>
          <w:szCs w:val="32"/>
          <w:lang w:val="en-US" w:eastAsia="zh-CN"/>
        </w:rPr>
        <w:t>190.85</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22.39</w:t>
      </w:r>
      <w:r>
        <w:rPr>
          <w:rFonts w:ascii="仿宋" w:hAnsi="仿宋" w:eastAsia="仿宋"/>
          <w:color w:val="000000"/>
          <w:sz w:val="32"/>
          <w:szCs w:val="32"/>
        </w:rPr>
        <w:t>%</w:t>
      </w:r>
      <w:r>
        <w:rPr>
          <w:rFonts w:hint="eastAsia" w:ascii="仿宋" w:hAnsi="仿宋" w:eastAsia="仿宋"/>
          <w:color w:val="000000"/>
          <w:sz w:val="32"/>
          <w:szCs w:val="32"/>
        </w:rPr>
        <w:t>。</w:t>
      </w:r>
      <w:bookmarkEnd w:id="51"/>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outlineLvl w:val="1"/>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drawing>
          <wp:anchor distT="0" distB="0" distL="114300" distR="114300" simplePos="0" relativeHeight="251660288" behindDoc="1" locked="0" layoutInCell="1" allowOverlap="1">
            <wp:simplePos x="0" y="0"/>
            <wp:positionH relativeFrom="column">
              <wp:posOffset>534670</wp:posOffset>
            </wp:positionH>
            <wp:positionV relativeFrom="paragraph">
              <wp:posOffset>167640</wp:posOffset>
            </wp:positionV>
            <wp:extent cx="4131310" cy="3098800"/>
            <wp:effectExtent l="4445" t="4445" r="9525" b="5715"/>
            <wp:wrapNone/>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1500" w:firstLineChars="500"/>
        <w:textAlignment w:val="auto"/>
        <w:rPr>
          <w:rFonts w:ascii="仿宋_GB2312" w:eastAsia="仿宋_GB2312"/>
          <w:color w:val="FF0000"/>
          <w:sz w:val="30"/>
          <w:szCs w:val="30"/>
        </w:rPr>
      </w:pPr>
      <w:r>
        <w:rPr>
          <w:rFonts w:hint="eastAsia" w:ascii="仿宋" w:hAnsi="仿宋" w:eastAsia="仿宋"/>
          <w:color w:val="000000" w:themeColor="text1"/>
          <w:sz w:val="30"/>
          <w:szCs w:val="30"/>
          <w14:textFill>
            <w14:solidFill>
              <w14:schemeClr w14:val="tx1"/>
            </w14:solidFill>
          </w14:textFill>
        </w:rPr>
        <w:t>（图3：支出决算结构图）（饼状图）</w:t>
      </w:r>
    </w:p>
    <w:p>
      <w:pPr>
        <w:pageBreakBefore w:val="0"/>
        <w:kinsoku/>
        <w:wordWrap/>
        <w:overflowPunct/>
        <w:topLinePunct w:val="0"/>
        <w:bidi w:val="0"/>
        <w:spacing w:line="578" w:lineRule="exact"/>
        <w:ind w:firstLine="640" w:firstLineChars="200"/>
        <w:textAlignment w:val="auto"/>
        <w:outlineLvl w:val="1"/>
        <w:rPr>
          <w:rStyle w:val="25"/>
          <w:rFonts w:ascii="黑体" w:hAnsi="黑体" w:eastAsia="黑体"/>
          <w:b w:val="0"/>
        </w:rPr>
      </w:pPr>
      <w:bookmarkStart w:id="52" w:name="_Toc15396606"/>
      <w:bookmarkStart w:id="53" w:name="_Toc14505"/>
      <w:bookmarkStart w:id="54" w:name="_Toc15377208"/>
      <w:r>
        <w:rPr>
          <w:rFonts w:hint="eastAsia" w:ascii="黑体" w:hAnsi="黑体" w:eastAsia="黑体"/>
          <w:color w:val="000000"/>
          <w:sz w:val="32"/>
          <w:szCs w:val="32"/>
        </w:rPr>
        <w:t>四、财</w:t>
      </w:r>
      <w:r>
        <w:rPr>
          <w:rStyle w:val="25"/>
          <w:rFonts w:hint="eastAsia" w:ascii="黑体" w:hAnsi="黑体" w:eastAsia="黑体"/>
          <w:b w:val="0"/>
        </w:rPr>
        <w:t>政拨款收入支出决算总体情况说明</w:t>
      </w:r>
      <w:bookmarkEnd w:id="52"/>
      <w:bookmarkEnd w:id="53"/>
      <w:bookmarkEnd w:id="54"/>
    </w:p>
    <w:p>
      <w:pPr>
        <w:keepNext w:val="0"/>
        <w:keepLines w:val="0"/>
        <w:pageBreakBefore w:val="0"/>
        <w:widowControl w:val="0"/>
        <w:kinsoku/>
        <w:wordWrap/>
        <w:overflowPunct/>
        <w:topLinePunct w:val="0"/>
        <w:autoSpaceDE/>
        <w:autoSpaceDN/>
        <w:bidi w:val="0"/>
        <w:adjustRightInd/>
        <w:snapToGrid/>
        <w:spacing w:line="578" w:lineRule="exact"/>
        <w:ind w:firstLine="641"/>
        <w:textAlignment w:val="auto"/>
        <w:rPr>
          <w:rFonts w:hint="eastAsia" w:ascii="仿宋" w:hAnsi="仿宋" w:eastAsia="仿宋"/>
          <w:color w:val="000000"/>
          <w:sz w:val="32"/>
          <w:szCs w:val="32"/>
          <w:lang w:eastAsia="zh-CN"/>
        </w:rPr>
      </w:pPr>
      <w:r>
        <w:rPr>
          <w:rFonts w:ascii="仿宋" w:hAnsi="仿宋" w:eastAsia="仿宋"/>
          <w:color w:val="000000"/>
          <w:sz w:val="32"/>
          <w:szCs w:val="32"/>
        </w:rPr>
        <w:t>201</w:t>
      </w:r>
      <w:r>
        <w:rPr>
          <w:rFonts w:hint="eastAsia" w:ascii="仿宋" w:hAnsi="仿宋" w:eastAsia="仿宋"/>
          <w:color w:val="000000"/>
          <w:sz w:val="32"/>
          <w:szCs w:val="32"/>
        </w:rPr>
        <w:t>9年财政拨款收、支总计</w:t>
      </w:r>
      <w:r>
        <w:rPr>
          <w:rFonts w:hint="eastAsia" w:ascii="仿宋" w:hAnsi="仿宋" w:eastAsia="仿宋"/>
          <w:color w:val="000000"/>
          <w:sz w:val="32"/>
          <w:szCs w:val="32"/>
          <w:lang w:val="en-US" w:eastAsia="zh-CN"/>
        </w:rPr>
        <w:t>852.41</w:t>
      </w:r>
      <w:r>
        <w:rPr>
          <w:rFonts w:hint="eastAsia" w:ascii="仿宋" w:hAnsi="仿宋" w:eastAsia="仿宋"/>
          <w:color w:val="000000"/>
          <w:sz w:val="32"/>
          <w:szCs w:val="32"/>
        </w:rPr>
        <w:t>万元。与</w:t>
      </w:r>
      <w:r>
        <w:rPr>
          <w:rFonts w:ascii="仿宋" w:hAnsi="仿宋" w:eastAsia="仿宋"/>
          <w:color w:val="000000"/>
          <w:sz w:val="32"/>
          <w:szCs w:val="32"/>
        </w:rPr>
        <w:t>201</w:t>
      </w:r>
      <w:r>
        <w:rPr>
          <w:rFonts w:hint="eastAsia" w:ascii="仿宋" w:hAnsi="仿宋" w:eastAsia="仿宋"/>
          <w:color w:val="000000"/>
          <w:sz w:val="32"/>
          <w:szCs w:val="32"/>
        </w:rPr>
        <w:t>8年相比，财政拨款收、支总计各增加</w:t>
      </w:r>
      <w:r>
        <w:rPr>
          <w:rFonts w:hint="eastAsia" w:ascii="仿宋" w:hAnsi="仿宋" w:eastAsia="仿宋"/>
          <w:color w:val="000000"/>
          <w:sz w:val="32"/>
          <w:szCs w:val="32"/>
          <w:lang w:val="en-US" w:eastAsia="zh-CN"/>
        </w:rPr>
        <w:t>23.39</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3</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预算基数增加。</w:t>
      </w:r>
    </w:p>
    <w:p>
      <w:pPr>
        <w:keepNext w:val="0"/>
        <w:keepLines w:val="0"/>
        <w:pageBreakBefore w:val="0"/>
        <w:widowControl w:val="0"/>
        <w:kinsoku/>
        <w:wordWrap/>
        <w:overflowPunct/>
        <w:topLinePunct w:val="0"/>
        <w:autoSpaceDE/>
        <w:autoSpaceDN/>
        <w:bidi w:val="0"/>
        <w:adjustRightInd/>
        <w:snapToGrid/>
        <w:spacing w:line="578" w:lineRule="exact"/>
        <w:ind w:firstLine="641"/>
        <w:textAlignment w:val="auto"/>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drawing>
          <wp:anchor distT="0" distB="0" distL="114300" distR="114300" simplePos="0" relativeHeight="251661312" behindDoc="1" locked="0" layoutInCell="1" allowOverlap="1">
            <wp:simplePos x="0" y="0"/>
            <wp:positionH relativeFrom="column">
              <wp:posOffset>220980</wp:posOffset>
            </wp:positionH>
            <wp:positionV relativeFrom="paragraph">
              <wp:posOffset>57150</wp:posOffset>
            </wp:positionV>
            <wp:extent cx="5080000" cy="3810000"/>
            <wp:effectExtent l="4445" t="4445" r="20955" b="14605"/>
            <wp:wrapNone/>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00" w:firstLineChars="200"/>
        <w:textAlignment w:val="auto"/>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（图4：财政拨款收、支决算总计变动情况）（柱状图）</w:t>
      </w:r>
    </w:p>
    <w:p>
      <w:pPr>
        <w:pageBreakBefore w:val="0"/>
        <w:kinsoku/>
        <w:wordWrap/>
        <w:overflowPunct/>
        <w:topLinePunct w:val="0"/>
        <w:bidi w:val="0"/>
        <w:spacing w:line="578" w:lineRule="exact"/>
        <w:ind w:firstLine="640"/>
        <w:textAlignment w:val="auto"/>
        <w:rPr>
          <w:rFonts w:ascii="仿宋" w:hAnsi="仿宋" w:eastAsia="仿宋"/>
          <w:b/>
          <w:color w:val="00B050"/>
          <w:sz w:val="32"/>
          <w:szCs w:val="32"/>
        </w:rPr>
      </w:pPr>
    </w:p>
    <w:p>
      <w:pPr>
        <w:pageBreakBefore w:val="0"/>
        <w:kinsoku/>
        <w:wordWrap/>
        <w:overflowPunct/>
        <w:topLinePunct w:val="0"/>
        <w:bidi w:val="0"/>
        <w:spacing w:line="578" w:lineRule="exact"/>
        <w:ind w:firstLine="640" w:firstLineChars="200"/>
        <w:textAlignment w:val="auto"/>
        <w:outlineLvl w:val="1"/>
        <w:rPr>
          <w:rStyle w:val="25"/>
          <w:rFonts w:ascii="黑体" w:hAnsi="黑体" w:eastAsia="黑体"/>
          <w:b w:val="0"/>
        </w:rPr>
      </w:pPr>
      <w:bookmarkStart w:id="55" w:name="_Toc15396607"/>
      <w:bookmarkStart w:id="56" w:name="_Toc15043"/>
      <w:bookmarkStart w:id="57" w:name="_Toc15377209"/>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5"/>
          <w:rFonts w:hint="eastAsia" w:ascii="黑体" w:hAnsi="黑体" w:eastAsia="黑体"/>
          <w:b w:val="0"/>
        </w:rPr>
        <w:t>般公共预算财政拨款支出决算情况说明</w:t>
      </w:r>
      <w:bookmarkEnd w:id="55"/>
      <w:bookmarkEnd w:id="56"/>
      <w:bookmarkEnd w:id="57"/>
    </w:p>
    <w:p>
      <w:pPr>
        <w:pageBreakBefore w:val="0"/>
        <w:kinsoku/>
        <w:wordWrap/>
        <w:overflowPunct/>
        <w:topLinePunct w:val="0"/>
        <w:bidi w:val="0"/>
        <w:spacing w:line="578" w:lineRule="exact"/>
        <w:ind w:firstLine="642" w:firstLineChars="200"/>
        <w:textAlignment w:val="auto"/>
        <w:outlineLvl w:val="2"/>
        <w:rPr>
          <w:rFonts w:ascii="仿宋" w:hAnsi="仿宋" w:eastAsia="仿宋"/>
          <w:b/>
          <w:color w:val="000000"/>
          <w:sz w:val="32"/>
          <w:szCs w:val="32"/>
        </w:rPr>
      </w:pPr>
      <w:bookmarkStart w:id="58" w:name="_Toc8341"/>
      <w:bookmarkStart w:id="59" w:name="_Toc15377210"/>
      <w:r>
        <w:rPr>
          <w:rFonts w:hint="eastAsia" w:ascii="仿宋" w:hAnsi="仿宋" w:eastAsia="仿宋"/>
          <w:b/>
          <w:color w:val="000000"/>
          <w:sz w:val="32"/>
          <w:szCs w:val="32"/>
        </w:rPr>
        <w:t>（一）一般公共预算财政拨款支出决算总体情况</w:t>
      </w:r>
      <w:bookmarkEnd w:id="58"/>
      <w:bookmarkEnd w:id="59"/>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r>
        <w:rPr>
          <w:rFonts w:ascii="仿宋" w:hAnsi="仿宋" w:eastAsia="仿宋"/>
          <w:color w:val="000000"/>
          <w:sz w:val="32"/>
          <w:szCs w:val="32"/>
        </w:rPr>
        <w:t>201</w:t>
      </w:r>
      <w:r>
        <w:rPr>
          <w:rFonts w:hint="eastAsia" w:ascii="仿宋" w:hAnsi="仿宋" w:eastAsia="仿宋"/>
          <w:color w:val="000000"/>
          <w:sz w:val="32"/>
          <w:szCs w:val="32"/>
        </w:rPr>
        <w:t>9年一般公共预算财政拨款支出</w:t>
      </w:r>
      <w:r>
        <w:rPr>
          <w:rFonts w:hint="eastAsia" w:ascii="仿宋" w:hAnsi="仿宋" w:eastAsia="仿宋"/>
          <w:color w:val="000000"/>
          <w:sz w:val="32"/>
          <w:szCs w:val="32"/>
          <w:lang w:val="en-US" w:eastAsia="zh-CN"/>
        </w:rPr>
        <w:t>852.41</w:t>
      </w:r>
      <w:r>
        <w:rPr>
          <w:rFonts w:hint="eastAsia" w:ascii="仿宋" w:hAnsi="仿宋" w:eastAsia="仿宋"/>
          <w:color w:val="000000"/>
          <w:sz w:val="32"/>
          <w:szCs w:val="32"/>
        </w:rPr>
        <w:t>万元，占本年支出合计的</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。与</w:t>
      </w:r>
      <w:r>
        <w:rPr>
          <w:rFonts w:ascii="仿宋" w:hAnsi="仿宋" w:eastAsia="仿宋"/>
          <w:color w:val="000000"/>
          <w:sz w:val="32"/>
          <w:szCs w:val="32"/>
        </w:rPr>
        <w:t>201</w:t>
      </w:r>
      <w:r>
        <w:rPr>
          <w:rFonts w:hint="eastAsia" w:ascii="仿宋" w:hAnsi="仿宋" w:eastAsia="仿宋"/>
          <w:color w:val="000000"/>
          <w:sz w:val="32"/>
          <w:szCs w:val="32"/>
        </w:rPr>
        <w:t>8年相比，一般公共预算财政拨款增加</w:t>
      </w:r>
      <w:r>
        <w:rPr>
          <w:rFonts w:hint="eastAsia" w:ascii="仿宋" w:hAnsi="仿宋" w:eastAsia="仿宋"/>
          <w:color w:val="000000"/>
          <w:sz w:val="32"/>
          <w:szCs w:val="32"/>
          <w:lang w:val="en-US" w:eastAsia="zh-CN"/>
        </w:rPr>
        <w:t>23.39</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3</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预算基数增加。</w:t>
      </w: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sz w:val="32"/>
          <w:szCs w:val="32"/>
          <w:lang w:eastAsia="zh-CN"/>
        </w:rPr>
        <w:drawing>
          <wp:anchor distT="0" distB="0" distL="114300" distR="114300" simplePos="0" relativeHeight="251662336" behindDoc="1" locked="0" layoutInCell="1" allowOverlap="1">
            <wp:simplePos x="0" y="0"/>
            <wp:positionH relativeFrom="column">
              <wp:posOffset>525145</wp:posOffset>
            </wp:positionH>
            <wp:positionV relativeFrom="paragraph">
              <wp:posOffset>114935</wp:posOffset>
            </wp:positionV>
            <wp:extent cx="4295775" cy="3221990"/>
            <wp:effectExtent l="5080" t="4445" r="12065" b="19685"/>
            <wp:wrapNone/>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300" w:firstLineChars="100"/>
        <w:textAlignment w:val="auto"/>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lang w:eastAsia="zh-CN"/>
          <w14:textFill>
            <w14:solidFill>
              <w14:schemeClr w14:val="tx1"/>
            </w14:solidFill>
          </w14:textFill>
        </w:rPr>
        <w:t>（</w:t>
      </w:r>
      <w:r>
        <w:rPr>
          <w:rFonts w:hint="eastAsia" w:ascii="仿宋" w:hAnsi="仿宋" w:eastAsia="仿宋"/>
          <w:color w:val="000000" w:themeColor="text1"/>
          <w:sz w:val="30"/>
          <w:szCs w:val="30"/>
          <w14:textFill>
            <w14:solidFill>
              <w14:schemeClr w14:val="tx1"/>
            </w14:solidFill>
          </w14:textFill>
        </w:rPr>
        <w:t>图5：一般公共预算财政拨款支出决算变动情况</w:t>
      </w:r>
      <w:r>
        <w:rPr>
          <w:rFonts w:hint="eastAsia" w:ascii="仿宋" w:hAnsi="仿宋" w:eastAsia="仿宋"/>
          <w:color w:val="000000" w:themeColor="text1"/>
          <w:sz w:val="30"/>
          <w:szCs w:val="30"/>
          <w:lang w:eastAsia="zh-CN"/>
          <w14:textFill>
            <w14:solidFill>
              <w14:schemeClr w14:val="tx1"/>
            </w14:solidFill>
          </w14:textFill>
        </w:rPr>
        <w:t>）柱状图</w:t>
      </w: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ind w:firstLine="642" w:firstLineChars="200"/>
        <w:textAlignment w:val="auto"/>
        <w:outlineLvl w:val="2"/>
        <w:rPr>
          <w:rFonts w:ascii="仿宋" w:hAnsi="仿宋" w:eastAsia="仿宋"/>
          <w:b/>
          <w:color w:val="000000"/>
          <w:sz w:val="32"/>
          <w:szCs w:val="32"/>
        </w:rPr>
      </w:pPr>
      <w:bookmarkStart w:id="60" w:name="_Toc21675"/>
      <w:bookmarkStart w:id="61" w:name="_Toc15377211"/>
      <w:r>
        <w:rPr>
          <w:rFonts w:hint="eastAsia" w:ascii="仿宋" w:hAnsi="仿宋" w:eastAsia="仿宋"/>
          <w:b/>
          <w:color w:val="000000"/>
          <w:sz w:val="32"/>
          <w:szCs w:val="32"/>
        </w:rPr>
        <w:t>（二）一般公共预算财政拨款支出决算结构情况</w:t>
      </w:r>
      <w:bookmarkEnd w:id="60"/>
      <w:bookmarkEnd w:id="61"/>
    </w:p>
    <w:p>
      <w:pPr>
        <w:pageBreakBefore w:val="0"/>
        <w:kinsoku/>
        <w:wordWrap/>
        <w:overflowPunct/>
        <w:topLinePunct w:val="0"/>
        <w:bidi w:val="0"/>
        <w:spacing w:line="578" w:lineRule="exact"/>
        <w:ind w:firstLine="640" w:firstLineChars="200"/>
        <w:textAlignment w:val="auto"/>
        <w:rPr>
          <w:rFonts w:ascii="仿宋" w:hAnsi="仿宋" w:eastAsia="仿宋"/>
          <w:b w:val="0"/>
          <w:bCs w:val="0"/>
          <w:color w:val="000000"/>
          <w:sz w:val="32"/>
          <w:szCs w:val="32"/>
        </w:rPr>
      </w:pPr>
      <w:r>
        <w:rPr>
          <w:rFonts w:ascii="仿宋" w:hAnsi="仿宋" w:eastAsia="仿宋"/>
          <w:b w:val="0"/>
          <w:bCs w:val="0"/>
          <w:color w:val="000000"/>
          <w:sz w:val="32"/>
          <w:szCs w:val="32"/>
        </w:rPr>
        <w:t>201</w:t>
      </w:r>
      <w:r>
        <w:rPr>
          <w:rFonts w:hint="eastAsia" w:ascii="仿宋" w:hAnsi="仿宋" w:eastAsia="仿宋"/>
          <w:b w:val="0"/>
          <w:bCs w:val="0"/>
          <w:color w:val="000000"/>
          <w:sz w:val="32"/>
          <w:szCs w:val="32"/>
        </w:rPr>
        <w:t>9年一般公共预算财</w:t>
      </w:r>
      <w:r>
        <w:rPr>
          <w:rFonts w:hint="eastAsia" w:ascii="仿宋" w:hAnsi="仿宋" w:eastAsia="仿宋"/>
          <w:b w:val="0"/>
          <w:bCs w:val="0"/>
          <w:color w:val="000000" w:themeColor="text1"/>
          <w:sz w:val="32"/>
          <w:szCs w:val="32"/>
          <w14:textFill>
            <w14:solidFill>
              <w14:schemeClr w14:val="tx1"/>
            </w14:solidFill>
          </w14:textFill>
        </w:rPr>
        <w:t>政拨款支出</w:t>
      </w:r>
      <w:r>
        <w:rPr>
          <w:rFonts w:hint="eastAsia" w:ascii="仿宋" w:hAnsi="仿宋" w:eastAsia="仿宋"/>
          <w:b w:val="0"/>
          <w:bCs w:val="0"/>
          <w:color w:val="000000"/>
          <w:sz w:val="32"/>
          <w:szCs w:val="32"/>
          <w:lang w:val="en-US" w:eastAsia="zh-CN"/>
        </w:rPr>
        <w:t>852.41</w:t>
      </w:r>
      <w:r>
        <w:rPr>
          <w:rFonts w:hint="eastAsia" w:ascii="仿宋" w:hAnsi="仿宋" w:eastAsia="仿宋"/>
          <w:b w:val="0"/>
          <w:bCs w:val="0"/>
          <w:color w:val="000000" w:themeColor="text1"/>
          <w:sz w:val="32"/>
          <w:szCs w:val="32"/>
          <w14:textFill>
            <w14:solidFill>
              <w14:schemeClr w14:val="tx1"/>
            </w14:solidFill>
          </w14:textFill>
        </w:rPr>
        <w:t>万元，主要用于以下方面</w:t>
      </w:r>
      <w:r>
        <w:rPr>
          <w:rFonts w:ascii="仿宋" w:hAnsi="仿宋" w:eastAsia="仿宋"/>
          <w:b w:val="0"/>
          <w:bCs w:val="0"/>
          <w:color w:val="000000" w:themeColor="text1"/>
          <w:sz w:val="32"/>
          <w:szCs w:val="32"/>
          <w14:textFill>
            <w14:solidFill>
              <w14:schemeClr w14:val="tx1"/>
            </w14:solidFill>
          </w14:textFill>
        </w:rPr>
        <w:t>:</w:t>
      </w:r>
      <w:r>
        <w:rPr>
          <w:rFonts w:hint="eastAsia" w:ascii="仿宋" w:hAnsi="仿宋" w:eastAsia="仿宋"/>
          <w:b w:val="0"/>
          <w:bCs w:val="0"/>
          <w:color w:val="000000" w:themeColor="text1"/>
          <w:sz w:val="32"/>
          <w:szCs w:val="32"/>
          <w14:textFill>
            <w14:solidFill>
              <w14:schemeClr w14:val="tx1"/>
            </w14:solidFill>
          </w14:textFill>
        </w:rPr>
        <w:t>一般公共服务（类）支出345.84万元，占</w:t>
      </w:r>
      <w:r>
        <w:rPr>
          <w:rFonts w:hint="eastAsia" w:ascii="仿宋" w:hAnsi="仿宋" w:eastAsia="仿宋"/>
          <w:b w:val="0"/>
          <w:bCs w:val="0"/>
          <w:color w:val="000000" w:themeColor="text1"/>
          <w:sz w:val="32"/>
          <w:szCs w:val="32"/>
          <w:lang w:val="en-US" w:eastAsia="zh-CN"/>
          <w14:textFill>
            <w14:solidFill>
              <w14:schemeClr w14:val="tx1"/>
            </w14:solidFill>
          </w14:textFill>
        </w:rPr>
        <w:t>40.57</w:t>
      </w:r>
      <w:r>
        <w:rPr>
          <w:rFonts w:ascii="仿宋" w:hAnsi="仿宋" w:eastAsia="仿宋"/>
          <w:b w:val="0"/>
          <w:bCs w:val="0"/>
          <w:color w:val="000000" w:themeColor="text1"/>
          <w:sz w:val="32"/>
          <w:szCs w:val="32"/>
          <w14:textFill>
            <w14:solidFill>
              <w14:schemeClr w14:val="tx1"/>
            </w14:solidFill>
          </w14:textFill>
        </w:rPr>
        <w:t>%</w:t>
      </w:r>
      <w:r>
        <w:rPr>
          <w:rFonts w:hint="eastAsia" w:ascii="仿宋" w:hAnsi="仿宋" w:eastAsia="仿宋"/>
          <w:b w:val="0"/>
          <w:bCs w:val="0"/>
          <w:color w:val="000000" w:themeColor="text1"/>
          <w:sz w:val="32"/>
          <w:szCs w:val="32"/>
          <w14:textFill>
            <w14:solidFill>
              <w14:schemeClr w14:val="tx1"/>
            </w14:solidFill>
          </w14:textFill>
        </w:rPr>
        <w:t>；</w:t>
      </w:r>
      <w:r>
        <w:rPr>
          <w:rFonts w:hint="eastAsia" w:ascii="仿宋" w:hAnsi="仿宋" w:eastAsia="仿宋"/>
          <w:b w:val="0"/>
          <w:bCs w:val="0"/>
          <w:color w:val="000000"/>
          <w:sz w:val="32"/>
          <w:szCs w:val="32"/>
        </w:rPr>
        <w:t>教育支出（类）</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万元，占</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；科学技术（类）支出</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万元，占</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；节能环保支出</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万元，点</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w:t>
      </w:r>
      <w:r>
        <w:rPr>
          <w:rFonts w:hint="eastAsia" w:ascii="仿宋" w:hAnsi="仿宋" w:eastAsia="仿宋"/>
          <w:b w:val="0"/>
          <w:bCs w:val="0"/>
          <w:color w:val="000000" w:themeColor="text1"/>
          <w:sz w:val="32"/>
          <w:szCs w:val="32"/>
          <w14:textFill>
            <w14:solidFill>
              <w14:schemeClr w14:val="tx1"/>
            </w14:solidFill>
          </w14:textFill>
        </w:rPr>
        <w:t>社会保障和就业（类）支出33.67万元，占</w:t>
      </w:r>
      <w:r>
        <w:rPr>
          <w:rFonts w:hint="eastAsia" w:ascii="仿宋" w:hAnsi="仿宋" w:eastAsia="仿宋"/>
          <w:b w:val="0"/>
          <w:bCs w:val="0"/>
          <w:color w:val="000000" w:themeColor="text1"/>
          <w:sz w:val="32"/>
          <w:szCs w:val="32"/>
          <w:lang w:val="en-US" w:eastAsia="zh-CN"/>
          <w14:textFill>
            <w14:solidFill>
              <w14:schemeClr w14:val="tx1"/>
            </w14:solidFill>
          </w14:textFill>
        </w:rPr>
        <w:t>3.95</w:t>
      </w:r>
      <w:r>
        <w:rPr>
          <w:rFonts w:ascii="仿宋" w:hAnsi="仿宋" w:eastAsia="仿宋"/>
          <w:b w:val="0"/>
          <w:bCs w:val="0"/>
          <w:color w:val="000000" w:themeColor="text1"/>
          <w:sz w:val="32"/>
          <w:szCs w:val="32"/>
          <w14:textFill>
            <w14:solidFill>
              <w14:schemeClr w14:val="tx1"/>
            </w14:solidFill>
          </w14:textFill>
        </w:rPr>
        <w:t>%</w:t>
      </w:r>
      <w:r>
        <w:rPr>
          <w:rFonts w:hint="eastAsia" w:ascii="仿宋" w:hAnsi="仿宋" w:eastAsia="仿宋"/>
          <w:b w:val="0"/>
          <w:bCs w:val="0"/>
          <w:color w:val="000000" w:themeColor="text1"/>
          <w:sz w:val="32"/>
          <w:szCs w:val="32"/>
          <w14:textFill>
            <w14:solidFill>
              <w14:schemeClr w14:val="tx1"/>
            </w14:solidFill>
          </w14:textFill>
        </w:rPr>
        <w:t>；</w:t>
      </w:r>
      <w:r>
        <w:rPr>
          <w:rFonts w:hint="eastAsia" w:ascii="仿宋" w:hAnsi="仿宋" w:eastAsia="仿宋"/>
          <w:b w:val="0"/>
          <w:bCs w:val="0"/>
          <w:color w:val="000000"/>
          <w:sz w:val="32"/>
          <w:szCs w:val="32"/>
        </w:rPr>
        <w:t>医疗卫生与计划生育支出20.73万元，占</w:t>
      </w:r>
      <w:r>
        <w:rPr>
          <w:rFonts w:hint="eastAsia" w:ascii="仿宋" w:hAnsi="仿宋" w:eastAsia="仿宋"/>
          <w:b w:val="0"/>
          <w:bCs w:val="0"/>
          <w:color w:val="000000"/>
          <w:sz w:val="32"/>
          <w:szCs w:val="32"/>
          <w:lang w:val="en-US" w:eastAsia="zh-CN"/>
        </w:rPr>
        <w:t>2.43</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；住房保障支出</w:t>
      </w:r>
      <w:r>
        <w:rPr>
          <w:rFonts w:hint="eastAsia" w:ascii="仿宋" w:hAnsi="仿宋" w:eastAsia="仿宋"/>
          <w:b w:val="0"/>
          <w:bCs w:val="0"/>
          <w:color w:val="000000" w:themeColor="text1"/>
          <w:sz w:val="32"/>
          <w:szCs w:val="32"/>
          <w:lang w:val="en-US" w:eastAsia="zh-CN"/>
          <w14:textFill>
            <w14:solidFill>
              <w14:schemeClr w14:val="tx1"/>
            </w14:solidFill>
          </w14:textFill>
        </w:rPr>
        <w:t>23.67</w:t>
      </w:r>
      <w:r>
        <w:rPr>
          <w:rFonts w:hint="eastAsia" w:ascii="仿宋" w:hAnsi="仿宋" w:eastAsia="仿宋"/>
          <w:b w:val="0"/>
          <w:bCs w:val="0"/>
          <w:color w:val="000000"/>
          <w:sz w:val="32"/>
          <w:szCs w:val="32"/>
        </w:rPr>
        <w:t>万元，</w:t>
      </w:r>
      <w:r>
        <w:rPr>
          <w:rFonts w:hint="eastAsia" w:ascii="仿宋" w:hAnsi="仿宋" w:eastAsia="仿宋"/>
          <w:b w:val="0"/>
          <w:bCs w:val="0"/>
          <w:color w:val="000000" w:themeColor="text1"/>
          <w:sz w:val="32"/>
          <w:szCs w:val="32"/>
          <w14:textFill>
            <w14:solidFill>
              <w14:schemeClr w14:val="tx1"/>
            </w14:solidFill>
          </w14:textFill>
        </w:rPr>
        <w:t>占</w:t>
      </w:r>
      <w:r>
        <w:rPr>
          <w:rFonts w:hint="eastAsia" w:ascii="仿宋" w:hAnsi="仿宋" w:eastAsia="仿宋"/>
          <w:b w:val="0"/>
          <w:bCs w:val="0"/>
          <w:color w:val="000000" w:themeColor="text1"/>
          <w:sz w:val="32"/>
          <w:szCs w:val="32"/>
          <w:lang w:val="en-US" w:eastAsia="zh-CN"/>
          <w14:textFill>
            <w14:solidFill>
              <w14:schemeClr w14:val="tx1"/>
            </w14:solidFill>
          </w14:textFill>
        </w:rPr>
        <w:t>2.78</w:t>
      </w:r>
      <w:r>
        <w:rPr>
          <w:rFonts w:ascii="仿宋" w:hAnsi="仿宋" w:eastAsia="仿宋"/>
          <w:b w:val="0"/>
          <w:bCs w:val="0"/>
          <w:color w:val="000000" w:themeColor="text1"/>
          <w:sz w:val="32"/>
          <w:szCs w:val="32"/>
          <w14:textFill>
            <w14:solidFill>
              <w14:schemeClr w14:val="tx1"/>
            </w14:solidFill>
          </w14:textFill>
        </w:rPr>
        <w:t>%</w:t>
      </w:r>
      <w:r>
        <w:rPr>
          <w:rFonts w:hint="eastAsia" w:ascii="仿宋" w:hAnsi="仿宋" w:eastAsia="仿宋"/>
          <w:b w:val="0"/>
          <w:bCs w:val="0"/>
          <w:color w:val="000000"/>
          <w:sz w:val="32"/>
          <w:szCs w:val="32"/>
        </w:rPr>
        <w:t>；城乡社区支出15.35万元，点</w:t>
      </w:r>
      <w:r>
        <w:rPr>
          <w:rFonts w:hint="eastAsia" w:ascii="仿宋" w:hAnsi="仿宋" w:eastAsia="仿宋"/>
          <w:b w:val="0"/>
          <w:bCs w:val="0"/>
          <w:color w:val="000000"/>
          <w:sz w:val="32"/>
          <w:szCs w:val="32"/>
          <w:lang w:val="en-US" w:eastAsia="zh-CN"/>
        </w:rPr>
        <w:t>1.80</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；农林水支出382.16万元</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占</w:t>
      </w:r>
      <w:r>
        <w:rPr>
          <w:rFonts w:hint="eastAsia" w:ascii="仿宋" w:hAnsi="仿宋" w:eastAsia="仿宋"/>
          <w:b w:val="0"/>
          <w:bCs w:val="0"/>
          <w:color w:val="000000"/>
          <w:sz w:val="32"/>
          <w:szCs w:val="32"/>
          <w:lang w:val="en-US" w:eastAsia="zh-CN"/>
        </w:rPr>
        <w:t>44.83</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；其他支出</w:t>
      </w:r>
      <w:r>
        <w:rPr>
          <w:rFonts w:hint="eastAsia" w:ascii="仿宋" w:hAnsi="仿宋" w:eastAsia="仿宋"/>
          <w:b w:val="0"/>
          <w:bCs w:val="0"/>
          <w:color w:val="000000"/>
          <w:sz w:val="32"/>
          <w:szCs w:val="32"/>
          <w:lang w:val="en-US" w:eastAsia="zh-CN"/>
        </w:rPr>
        <w:t>30.99</w:t>
      </w:r>
      <w:r>
        <w:rPr>
          <w:rFonts w:hint="eastAsia" w:ascii="仿宋" w:hAnsi="仿宋" w:eastAsia="仿宋"/>
          <w:b w:val="0"/>
          <w:bCs w:val="0"/>
          <w:color w:val="000000"/>
          <w:sz w:val="32"/>
          <w:szCs w:val="32"/>
        </w:rPr>
        <w:t>万元，占</w:t>
      </w:r>
      <w:r>
        <w:rPr>
          <w:rFonts w:hint="eastAsia" w:ascii="仿宋" w:hAnsi="仿宋" w:eastAsia="仿宋"/>
          <w:b w:val="0"/>
          <w:bCs w:val="0"/>
          <w:color w:val="000000"/>
          <w:sz w:val="32"/>
          <w:szCs w:val="32"/>
          <w:lang w:val="en-US" w:eastAsia="zh-CN"/>
        </w:rPr>
        <w:t>3.64</w:t>
      </w:r>
      <w:r>
        <w:rPr>
          <w:rFonts w:ascii="仿宋" w:hAnsi="仿宋" w:eastAsia="仿宋"/>
          <w:b w:val="0"/>
          <w:bCs w:val="0"/>
          <w:color w:val="000000"/>
          <w:sz w:val="32"/>
          <w:szCs w:val="32"/>
        </w:rPr>
        <w:t>%</w:t>
      </w:r>
      <w:r>
        <w:rPr>
          <w:rFonts w:hint="eastAsia" w:ascii="仿宋" w:hAnsi="仿宋" w:eastAsia="仿宋"/>
          <w:b w:val="0"/>
          <w:bCs w:val="0"/>
          <w:color w:val="000000"/>
          <w:sz w:val="32"/>
          <w:szCs w:val="32"/>
        </w:rPr>
        <w:t>。</w:t>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ascii="仿宋" w:hAnsi="仿宋" w:eastAsia="仿宋"/>
          <w:color w:val="000000" w:themeColor="text1"/>
          <w:sz w:val="32"/>
          <w:szCs w:val="32"/>
          <w14:textFill>
            <w14:solidFill>
              <w14:schemeClr w14:val="tx1"/>
            </w14:solidFill>
          </w14:textFill>
        </w:rPr>
      </w:pPr>
    </w:p>
    <w:p>
      <w:pPr>
        <w:pageBreakBefore w:val="0"/>
        <w:kinsoku/>
        <w:wordWrap/>
        <w:overflowPunct/>
        <w:topLinePunct w:val="0"/>
        <w:bidi w:val="0"/>
        <w:spacing w:line="578" w:lineRule="exact"/>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420" w:firstLineChars="200"/>
        <w:textAlignment w:val="auto"/>
        <w:rPr>
          <w:rFonts w:hint="eastAsia" w:ascii="仿宋" w:hAnsi="仿宋" w:eastAsia="仿宋"/>
          <w:color w:val="000000"/>
          <w:sz w:val="32"/>
          <w:szCs w:val="32"/>
        </w:rPr>
      </w:pPr>
      <w:r>
        <w:pict>
          <v:shape id="_x0000_s1026" o:spid="_x0000_s1026" o:spt="75" type="#_x0000_t75" style="position:absolute;left:0pt;margin-left:1.5pt;margin-top:-0.4pt;height:212.25pt;width:417.75pt;z-index:251663360;mso-width-relative:page;mso-height-relative:page;" o:ole="t" filled="f" o:preferrelative="t" stroked="f" coordsize="21600,21600">
            <v:path/>
            <v:fill on="f" focussize="0,0"/>
            <v:stroke on="f"/>
            <v:imagedata r:id="rId12" o:title=""/>
            <o:lock v:ext="edit" aspectratio="f"/>
          </v:shape>
          <o:OLEObject Type="Embed" ProgID="Excel.Chart.8" ShapeID="_x0000_s1026" DrawAspect="Content" ObjectID="_1468075725" r:id="rId11">
            <o:LockedField>false</o:LockedField>
          </o:OLEObject>
        </w:pict>
      </w: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jc w:val="center"/>
        <w:textAlignment w:val="auto"/>
        <w:rPr>
          <w:rFonts w:ascii="仿宋" w:hAnsi="仿宋" w:eastAsia="仿宋"/>
          <w:color w:val="000000"/>
          <w:sz w:val="32"/>
          <w:szCs w:val="32"/>
        </w:rPr>
      </w:pPr>
      <w:r>
        <w:rPr>
          <w:rFonts w:hint="eastAsia" w:ascii="仿宋" w:hAnsi="仿宋" w:eastAsia="仿宋"/>
          <w:color w:val="000000"/>
          <w:sz w:val="30"/>
          <w:szCs w:val="30"/>
        </w:rPr>
        <w:t>（图6：一般公共预算财政拨款支出决算结构）（饼状图）</w:t>
      </w:r>
    </w:p>
    <w:p>
      <w:pPr>
        <w:pageBreakBefore w:val="0"/>
        <w:kinsoku/>
        <w:wordWrap/>
        <w:overflowPunct/>
        <w:topLinePunct w:val="0"/>
        <w:bidi w:val="0"/>
        <w:spacing w:line="578" w:lineRule="exact"/>
        <w:ind w:firstLine="642" w:firstLineChars="200"/>
        <w:textAlignment w:val="auto"/>
        <w:outlineLvl w:val="2"/>
        <w:rPr>
          <w:rFonts w:ascii="仿宋" w:hAnsi="仿宋" w:eastAsia="仿宋"/>
          <w:b/>
          <w:color w:val="000000"/>
          <w:sz w:val="32"/>
          <w:szCs w:val="32"/>
        </w:rPr>
      </w:pPr>
      <w:bookmarkStart w:id="62" w:name="_Toc18935"/>
      <w:bookmarkStart w:id="63" w:name="_Toc15377212"/>
      <w:r>
        <w:rPr>
          <w:rFonts w:hint="eastAsia" w:ascii="仿宋" w:hAnsi="仿宋" w:eastAsia="仿宋"/>
          <w:b/>
          <w:color w:val="000000"/>
          <w:sz w:val="32"/>
          <w:szCs w:val="32"/>
        </w:rPr>
        <w:t>（三）一般公共预算财政拨款支出决算具体情况</w:t>
      </w:r>
      <w:bookmarkEnd w:id="62"/>
      <w:bookmarkEnd w:id="63"/>
    </w:p>
    <w:p>
      <w:pPr>
        <w:pageBreakBefore w:val="0"/>
        <w:kinsoku/>
        <w:wordWrap/>
        <w:overflowPunct/>
        <w:topLinePunct w:val="0"/>
        <w:bidi w:val="0"/>
        <w:spacing w:line="578" w:lineRule="exact"/>
        <w:ind w:firstLine="640" w:firstLineChars="200"/>
        <w:textAlignment w:val="auto"/>
        <w:outlineLvl w:val="2"/>
        <w:rPr>
          <w:rFonts w:ascii="仿宋" w:hAnsi="仿宋" w:eastAsia="仿宋"/>
          <w:b w:val="0"/>
          <w:bCs/>
          <w:color w:val="FF0000"/>
          <w:sz w:val="32"/>
          <w:szCs w:val="32"/>
        </w:rPr>
      </w:pPr>
      <w:bookmarkStart w:id="64" w:name="_Toc15377213"/>
      <w:bookmarkStart w:id="65" w:name="_Toc15377444"/>
      <w:bookmarkStart w:id="66" w:name="_Toc11988"/>
      <w:bookmarkStart w:id="67" w:name="_Toc15378460"/>
      <w:r>
        <w:rPr>
          <w:rFonts w:hint="eastAsia" w:ascii="仿宋" w:hAnsi="仿宋" w:eastAsia="仿宋"/>
          <w:b w:val="0"/>
          <w:bCs/>
          <w:color w:val="000000" w:themeColor="text1"/>
          <w:sz w:val="32"/>
          <w:szCs w:val="32"/>
          <w14:textFill>
            <w14:solidFill>
              <w14:schemeClr w14:val="tx1"/>
            </w14:solidFill>
          </w14:textFill>
        </w:rPr>
        <w:t>2019年般公共预算支出决算数为</w:t>
      </w:r>
      <w:r>
        <w:rPr>
          <w:rFonts w:hint="eastAsia" w:ascii="仿宋" w:hAnsi="仿宋" w:eastAsia="仿宋"/>
          <w:b w:val="0"/>
          <w:bCs/>
          <w:color w:val="000000"/>
          <w:sz w:val="32"/>
          <w:szCs w:val="32"/>
        </w:rPr>
        <w:t>8</w:t>
      </w:r>
      <w:r>
        <w:rPr>
          <w:rFonts w:hint="eastAsia" w:ascii="仿宋" w:hAnsi="仿宋" w:eastAsia="仿宋"/>
          <w:b w:val="0"/>
          <w:bCs/>
          <w:color w:val="000000"/>
          <w:sz w:val="32"/>
          <w:szCs w:val="32"/>
          <w:lang w:val="en-US" w:eastAsia="zh-CN"/>
        </w:rPr>
        <w:t>52</w:t>
      </w:r>
      <w:r>
        <w:rPr>
          <w:rFonts w:hint="eastAsia" w:ascii="仿宋" w:hAnsi="仿宋" w:eastAsia="仿宋"/>
          <w:b w:val="0"/>
          <w:bCs/>
          <w:color w:val="000000"/>
          <w:sz w:val="32"/>
          <w:szCs w:val="32"/>
        </w:rPr>
        <w:t>.41</w:t>
      </w:r>
      <w:r>
        <w:rPr>
          <w:rFonts w:hint="eastAsia" w:ascii="仿宋" w:hAnsi="仿宋" w:eastAsia="仿宋"/>
          <w:b w:val="0"/>
          <w:bCs/>
          <w:color w:val="000000"/>
          <w:sz w:val="32"/>
          <w:szCs w:val="32"/>
          <w:lang w:eastAsia="zh-CN"/>
        </w:rPr>
        <w:t>万元</w:t>
      </w:r>
      <w:r>
        <w:rPr>
          <w:rFonts w:hint="eastAsia" w:ascii="仿宋" w:hAnsi="仿宋" w:eastAsia="仿宋"/>
          <w:b w:val="0"/>
          <w:bCs/>
          <w:color w:val="000000" w:themeColor="text1"/>
          <w:sz w:val="32"/>
          <w:szCs w:val="32"/>
          <w14:textFill>
            <w14:solidFill>
              <w14:schemeClr w14:val="tx1"/>
            </w14:solidFill>
          </w14:textFill>
        </w:rPr>
        <w:t>，</w:t>
      </w:r>
      <w:r>
        <w:rPr>
          <w:rStyle w:val="14"/>
          <w:rFonts w:hint="eastAsia" w:ascii="仿宋" w:hAnsi="仿宋" w:eastAsia="仿宋"/>
          <w:b w:val="0"/>
          <w:bCs/>
          <w:color w:val="000000" w:themeColor="text1"/>
          <w:sz w:val="32"/>
          <w:szCs w:val="32"/>
          <w14:textFill>
            <w14:solidFill>
              <w14:schemeClr w14:val="tx1"/>
            </w14:solidFill>
          </w14:textFill>
        </w:rPr>
        <w:t>完成</w:t>
      </w:r>
      <w:r>
        <w:rPr>
          <w:rStyle w:val="14"/>
          <w:rFonts w:hint="eastAsia" w:ascii="仿宋" w:hAnsi="仿宋" w:eastAsia="仿宋"/>
          <w:b w:val="0"/>
          <w:bCs/>
          <w:color w:val="000000"/>
          <w:sz w:val="32"/>
          <w:szCs w:val="32"/>
        </w:rPr>
        <w:t>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。其中：</w:t>
      </w:r>
      <w:bookmarkEnd w:id="64"/>
      <w:bookmarkEnd w:id="65"/>
      <w:bookmarkEnd w:id="66"/>
      <w:bookmarkEnd w:id="67"/>
    </w:p>
    <w:p>
      <w:pPr>
        <w:pageBreakBefore w:val="0"/>
        <w:kinsoku/>
        <w:wordWrap/>
        <w:overflowPunct/>
        <w:topLinePunct w:val="0"/>
        <w:bidi w:val="0"/>
        <w:spacing w:line="578" w:lineRule="exact"/>
        <w:ind w:firstLine="640" w:firstLineChars="200"/>
        <w:textAlignment w:val="auto"/>
        <w:rPr>
          <w:rFonts w:hint="eastAsia" w:ascii="仿宋" w:hAnsi="仿宋" w:eastAsia="仿宋"/>
          <w:color w:val="000000"/>
          <w:sz w:val="32"/>
          <w:szCs w:val="32"/>
        </w:rPr>
      </w:pPr>
      <w:r>
        <w:rPr>
          <w:rFonts w:hint="eastAsia" w:ascii="仿宋" w:hAnsi="仿宋" w:eastAsia="仿宋"/>
          <w:b w:val="0"/>
          <w:bCs/>
          <w:color w:val="000000" w:themeColor="text1"/>
          <w:sz w:val="32"/>
          <w:szCs w:val="32"/>
          <w14:textFill>
            <w14:solidFill>
              <w14:schemeClr w14:val="tx1"/>
            </w14:solidFill>
          </w14:textFill>
        </w:rPr>
        <w:t>一般公共服务（类）支出345.84万元，占</w:t>
      </w:r>
      <w:r>
        <w:rPr>
          <w:rFonts w:hint="eastAsia" w:ascii="仿宋" w:hAnsi="仿宋" w:eastAsia="仿宋"/>
          <w:b w:val="0"/>
          <w:bCs/>
          <w:color w:val="000000" w:themeColor="text1"/>
          <w:sz w:val="32"/>
          <w:szCs w:val="32"/>
          <w:lang w:val="en-US" w:eastAsia="zh-CN"/>
          <w14:textFill>
            <w14:solidFill>
              <w14:schemeClr w14:val="tx1"/>
            </w14:solidFill>
          </w14:textFill>
        </w:rPr>
        <w:t>40.57</w:t>
      </w:r>
      <w:r>
        <w:rPr>
          <w:rFonts w:ascii="仿宋" w:hAnsi="仿宋" w:eastAsia="仿宋"/>
          <w:b w:val="0"/>
          <w:bCs/>
          <w:color w:val="000000" w:themeColor="text1"/>
          <w:sz w:val="32"/>
          <w:szCs w:val="32"/>
          <w14:textFill>
            <w14:solidFill>
              <w14:schemeClr w14:val="tx1"/>
            </w14:solidFill>
          </w14:textFill>
        </w:rPr>
        <w:t>%</w:t>
      </w:r>
      <w:r>
        <w:rPr>
          <w:rFonts w:hint="eastAsia" w:ascii="仿宋" w:hAnsi="仿宋" w:eastAsia="仿宋"/>
          <w:b w:val="0"/>
          <w:bCs/>
          <w:color w:val="000000" w:themeColor="text1"/>
          <w:sz w:val="32"/>
          <w:szCs w:val="32"/>
          <w14:textFill>
            <w14:solidFill>
              <w14:schemeClr w14:val="tx1"/>
            </w14:solidFill>
          </w14:textFill>
        </w:rPr>
        <w:t>；社会保障和就业（类）支出</w:t>
      </w:r>
      <w:r>
        <w:rPr>
          <w:rFonts w:hint="eastAsia" w:ascii="仿宋" w:hAnsi="仿宋" w:eastAsia="仿宋"/>
          <w:color w:val="000000" w:themeColor="text1"/>
          <w:sz w:val="32"/>
          <w:szCs w:val="32"/>
          <w14:textFill>
            <w14:solidFill>
              <w14:schemeClr w14:val="tx1"/>
            </w14:solidFill>
          </w14:textFill>
        </w:rPr>
        <w:t>33.67万元，占</w:t>
      </w:r>
      <w:r>
        <w:rPr>
          <w:rFonts w:hint="eastAsia" w:ascii="仿宋" w:hAnsi="仿宋" w:eastAsia="仿宋"/>
          <w:color w:val="000000" w:themeColor="text1"/>
          <w:sz w:val="32"/>
          <w:szCs w:val="32"/>
          <w:lang w:val="en-US" w:eastAsia="zh-CN"/>
          <w14:textFill>
            <w14:solidFill>
              <w14:schemeClr w14:val="tx1"/>
            </w14:solidFill>
          </w14:textFill>
        </w:rPr>
        <w:t>3.95</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color w:val="000000"/>
          <w:sz w:val="32"/>
          <w:szCs w:val="32"/>
        </w:rPr>
        <w:t>医疗卫生与计划生育支出20.73万元，占</w:t>
      </w:r>
      <w:r>
        <w:rPr>
          <w:rFonts w:hint="eastAsia" w:ascii="仿宋" w:hAnsi="仿宋" w:eastAsia="仿宋"/>
          <w:color w:val="000000"/>
          <w:sz w:val="32"/>
          <w:szCs w:val="32"/>
          <w:lang w:val="en-US" w:eastAsia="zh-CN"/>
        </w:rPr>
        <w:t>2.43</w:t>
      </w:r>
      <w:r>
        <w:rPr>
          <w:rFonts w:ascii="仿宋" w:hAnsi="仿宋" w:eastAsia="仿宋"/>
          <w:color w:val="000000"/>
          <w:sz w:val="32"/>
          <w:szCs w:val="32"/>
        </w:rPr>
        <w:t>%</w:t>
      </w:r>
      <w:r>
        <w:rPr>
          <w:rFonts w:hint="eastAsia" w:ascii="仿宋" w:hAnsi="仿宋" w:eastAsia="仿宋"/>
          <w:color w:val="000000"/>
          <w:sz w:val="32"/>
          <w:szCs w:val="32"/>
        </w:rPr>
        <w:t>；住房保障支出</w:t>
      </w:r>
      <w:r>
        <w:rPr>
          <w:rFonts w:hint="eastAsia" w:ascii="仿宋" w:hAnsi="仿宋" w:eastAsia="仿宋"/>
          <w:color w:val="000000" w:themeColor="text1"/>
          <w:sz w:val="32"/>
          <w:szCs w:val="32"/>
          <w:lang w:val="en-US" w:eastAsia="zh-CN"/>
          <w14:textFill>
            <w14:solidFill>
              <w14:schemeClr w14:val="tx1"/>
            </w14:solidFill>
          </w14:textFill>
        </w:rPr>
        <w:t>23.67</w:t>
      </w:r>
      <w:r>
        <w:rPr>
          <w:rFonts w:hint="eastAsia" w:ascii="仿宋" w:hAnsi="仿宋" w:eastAsia="仿宋"/>
          <w:color w:val="000000"/>
          <w:sz w:val="32"/>
          <w:szCs w:val="32"/>
        </w:rPr>
        <w:t>万元，</w:t>
      </w:r>
      <w:r>
        <w:rPr>
          <w:rFonts w:hint="eastAsia" w:ascii="仿宋" w:hAnsi="仿宋" w:eastAsia="仿宋"/>
          <w:color w:val="000000" w:themeColor="text1"/>
          <w:sz w:val="32"/>
          <w:szCs w:val="32"/>
          <w14:textFill>
            <w14:solidFill>
              <w14:schemeClr w14:val="tx1"/>
            </w14:solidFill>
          </w14:textFill>
        </w:rPr>
        <w:t>占</w:t>
      </w:r>
      <w:r>
        <w:rPr>
          <w:rFonts w:hint="eastAsia" w:ascii="仿宋" w:hAnsi="仿宋" w:eastAsia="仿宋"/>
          <w:color w:val="000000" w:themeColor="text1"/>
          <w:sz w:val="32"/>
          <w:szCs w:val="32"/>
          <w:lang w:val="en-US" w:eastAsia="zh-CN"/>
          <w14:textFill>
            <w14:solidFill>
              <w14:schemeClr w14:val="tx1"/>
            </w14:solidFill>
          </w14:textFill>
        </w:rPr>
        <w:t>2.78</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sz w:val="32"/>
          <w:szCs w:val="32"/>
        </w:rPr>
        <w:t>；城乡社区支出15.35万元，点</w:t>
      </w:r>
      <w:r>
        <w:rPr>
          <w:rFonts w:hint="eastAsia" w:ascii="仿宋" w:hAnsi="仿宋" w:eastAsia="仿宋"/>
          <w:color w:val="000000"/>
          <w:sz w:val="32"/>
          <w:szCs w:val="32"/>
          <w:lang w:val="en-US" w:eastAsia="zh-CN"/>
        </w:rPr>
        <w:t>1.80</w:t>
      </w:r>
      <w:r>
        <w:rPr>
          <w:rFonts w:ascii="仿宋" w:hAnsi="仿宋" w:eastAsia="仿宋"/>
          <w:color w:val="000000"/>
          <w:sz w:val="32"/>
          <w:szCs w:val="32"/>
        </w:rPr>
        <w:t>%</w:t>
      </w:r>
      <w:r>
        <w:rPr>
          <w:rFonts w:hint="eastAsia" w:ascii="仿宋" w:hAnsi="仿宋" w:eastAsia="仿宋"/>
          <w:color w:val="000000"/>
          <w:sz w:val="32"/>
          <w:szCs w:val="32"/>
        </w:rPr>
        <w:t>；农林水支出382.16万元</w:t>
      </w:r>
      <w:r>
        <w:rPr>
          <w:rFonts w:ascii="仿宋" w:hAnsi="仿宋" w:eastAsia="仿宋"/>
          <w:color w:val="000000"/>
          <w:sz w:val="32"/>
          <w:szCs w:val="32"/>
        </w:rPr>
        <w:t>,</w:t>
      </w:r>
      <w:r>
        <w:rPr>
          <w:rFonts w:hint="eastAsia" w:ascii="仿宋" w:hAnsi="仿宋" w:eastAsia="仿宋"/>
          <w:color w:val="000000"/>
          <w:sz w:val="32"/>
          <w:szCs w:val="32"/>
        </w:rPr>
        <w:t>占</w:t>
      </w:r>
      <w:r>
        <w:rPr>
          <w:rFonts w:hint="eastAsia" w:ascii="仿宋" w:hAnsi="仿宋" w:eastAsia="仿宋"/>
          <w:color w:val="000000"/>
          <w:sz w:val="32"/>
          <w:szCs w:val="32"/>
          <w:lang w:val="en-US" w:eastAsia="zh-CN"/>
        </w:rPr>
        <w:t>44.83</w:t>
      </w:r>
      <w:r>
        <w:rPr>
          <w:rFonts w:ascii="仿宋" w:hAnsi="仿宋" w:eastAsia="仿宋"/>
          <w:color w:val="000000"/>
          <w:sz w:val="32"/>
          <w:szCs w:val="32"/>
        </w:rPr>
        <w:t>%</w:t>
      </w:r>
      <w:r>
        <w:rPr>
          <w:rFonts w:hint="eastAsia" w:ascii="仿宋" w:hAnsi="仿宋" w:eastAsia="仿宋"/>
          <w:color w:val="000000"/>
          <w:sz w:val="32"/>
          <w:szCs w:val="32"/>
        </w:rPr>
        <w:t>；其他支出</w:t>
      </w:r>
      <w:r>
        <w:rPr>
          <w:rFonts w:hint="eastAsia" w:ascii="仿宋" w:hAnsi="仿宋" w:eastAsia="仿宋"/>
          <w:color w:val="000000"/>
          <w:sz w:val="32"/>
          <w:szCs w:val="32"/>
          <w:lang w:val="en-US" w:eastAsia="zh-CN"/>
        </w:rPr>
        <w:t>30.99</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3.64</w:t>
      </w:r>
      <w:r>
        <w:rPr>
          <w:rFonts w:ascii="仿宋" w:hAnsi="仿宋" w:eastAsia="仿宋"/>
          <w:color w:val="000000"/>
          <w:sz w:val="32"/>
          <w:szCs w:val="32"/>
        </w:rPr>
        <w:t>%</w:t>
      </w:r>
      <w:r>
        <w:rPr>
          <w:rFonts w:hint="eastAsia" w:ascii="仿宋" w:hAnsi="仿宋" w:eastAsia="仿宋"/>
          <w:color w:val="000000"/>
          <w:sz w:val="32"/>
          <w:szCs w:val="32"/>
        </w:rPr>
        <w:t>。</w:t>
      </w:r>
    </w:p>
    <w:p>
      <w:pPr>
        <w:pageBreakBefore w:val="0"/>
        <w:tabs>
          <w:tab w:val="right" w:pos="8306"/>
        </w:tabs>
        <w:kinsoku/>
        <w:wordWrap/>
        <w:overflowPunct/>
        <w:topLinePunct w:val="0"/>
        <w:bidi w:val="0"/>
        <w:spacing w:line="578" w:lineRule="exact"/>
        <w:ind w:firstLine="640"/>
        <w:textAlignment w:val="auto"/>
        <w:outlineLvl w:val="1"/>
        <w:rPr>
          <w:rStyle w:val="25"/>
        </w:rPr>
      </w:pPr>
      <w:bookmarkStart w:id="68" w:name="_Toc15377214"/>
      <w:bookmarkStart w:id="69" w:name="_Toc1450"/>
      <w:bookmarkStart w:id="70" w:name="_Toc15396608"/>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5"/>
          <w:rFonts w:hint="eastAsia" w:ascii="黑体" w:hAnsi="黑体" w:eastAsia="黑体"/>
          <w:b w:val="0"/>
        </w:rPr>
        <w:t>般公共预算财政拨款基本支出决算情况说明</w:t>
      </w:r>
      <w:bookmarkEnd w:id="68"/>
      <w:bookmarkEnd w:id="69"/>
      <w:bookmarkEnd w:id="70"/>
      <w:r>
        <w:rPr>
          <w:rStyle w:val="25"/>
          <w:rFonts w:ascii="黑体" w:hAnsi="黑体" w:eastAsia="黑体"/>
          <w:b w:val="0"/>
        </w:rPr>
        <w:tab/>
      </w:r>
    </w:p>
    <w:p>
      <w:pPr>
        <w:pageBreakBefore w:val="0"/>
        <w:kinsoku/>
        <w:wordWrap/>
        <w:overflowPunct/>
        <w:topLinePunct w:val="0"/>
        <w:bidi w:val="0"/>
        <w:spacing w:line="578" w:lineRule="exact"/>
        <w:ind w:firstLine="645"/>
        <w:textAlignment w:val="auto"/>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9年一般公共预算财政拨款基本支出</w:t>
      </w:r>
      <w:r>
        <w:rPr>
          <w:rFonts w:hint="eastAsia" w:ascii="仿宋" w:hAnsi="仿宋" w:eastAsia="仿宋"/>
          <w:color w:val="000000"/>
          <w:sz w:val="32"/>
          <w:szCs w:val="32"/>
          <w:lang w:val="en-US" w:eastAsia="zh-CN"/>
        </w:rPr>
        <w:t>661.56</w:t>
      </w:r>
      <w:r>
        <w:rPr>
          <w:rFonts w:hint="eastAsia" w:ascii="仿宋" w:hAnsi="仿宋" w:eastAsia="仿宋"/>
          <w:color w:val="000000"/>
          <w:sz w:val="32"/>
          <w:szCs w:val="32"/>
        </w:rPr>
        <w:t>万元，其中：</w:t>
      </w:r>
    </w:p>
    <w:p>
      <w:pPr>
        <w:pageBreakBefore w:val="0"/>
        <w:kinsoku/>
        <w:wordWrap/>
        <w:overflowPunct/>
        <w:topLinePunct w:val="0"/>
        <w:bidi w:val="0"/>
        <w:spacing w:line="578" w:lineRule="exact"/>
        <w:ind w:firstLine="645"/>
        <w:textAlignment w:val="auto"/>
        <w:rPr>
          <w:rFonts w:ascii="仿宋" w:hAnsi="仿宋" w:eastAsia="仿宋"/>
          <w:color w:val="000000"/>
          <w:sz w:val="32"/>
          <w:szCs w:val="32"/>
        </w:rPr>
      </w:pPr>
      <w:r>
        <w:rPr>
          <w:rFonts w:hint="eastAsia" w:ascii="仿宋" w:hAnsi="仿宋" w:eastAsia="仿宋"/>
          <w:color w:val="000000"/>
          <w:sz w:val="32"/>
          <w:szCs w:val="32"/>
        </w:rPr>
        <w:t>人员经费</w:t>
      </w:r>
      <w:r>
        <w:rPr>
          <w:rFonts w:hint="eastAsia" w:ascii="仿宋" w:hAnsi="仿宋" w:eastAsia="仿宋"/>
          <w:color w:val="000000"/>
          <w:sz w:val="32"/>
          <w:szCs w:val="32"/>
          <w:lang w:val="en-US" w:eastAsia="zh-CN"/>
        </w:rPr>
        <w:t>547.91</w:t>
      </w:r>
      <w:r>
        <w:rPr>
          <w:rFonts w:hint="eastAsia" w:ascii="仿宋" w:hAnsi="仿宋" w:eastAsia="仿宋"/>
          <w:color w:val="000000"/>
          <w:sz w:val="32"/>
          <w:szCs w:val="32"/>
        </w:rPr>
        <w:t>万元，主要包括：基本工资、津贴补贴、奖金、伙食补助费、绩效工资、机关事业单位基本养老保险缴费、职业年金缴费、其他社会保障缴费、其他工资福利支出、离休费、退休费、抚恤金、生活补助、医疗费补助、奖励金、住房公积金、其他对个人和家庭的补助支出等。</w:t>
      </w:r>
      <w:r>
        <w:rPr>
          <w:rFonts w:ascii="仿宋" w:hAnsi="仿宋" w:eastAsia="仿宋"/>
          <w:color w:val="000000"/>
          <w:sz w:val="32"/>
          <w:szCs w:val="32"/>
        </w:rPr>
        <w:br w:type="textWrapping"/>
      </w:r>
      <w:r>
        <w:rPr>
          <w:rFonts w:hint="eastAsia" w:ascii="仿宋" w:hAnsi="仿宋" w:eastAsia="仿宋"/>
          <w:color w:val="000000"/>
          <w:sz w:val="32"/>
          <w:szCs w:val="32"/>
        </w:rPr>
        <w:t>　　日常公用经费113.65万元，主要包括：办公费、印刷费、咨询费、手续费、水费、电费、邮电费、取暖费、物业管理费、差旅费、</w:t>
      </w:r>
      <w:r>
        <w:rPr>
          <w:rFonts w:hint="eastAsia" w:ascii="仿宋" w:hAnsi="仿宋" w:eastAsia="仿宋"/>
          <w:color w:val="000000"/>
          <w:sz w:val="32"/>
          <w:szCs w:val="32"/>
          <w:lang w:eastAsia="zh-CN"/>
        </w:rPr>
        <w:t>因公出国（境）费用、</w:t>
      </w:r>
      <w:r>
        <w:rPr>
          <w:rFonts w:hint="eastAsia" w:ascii="仿宋" w:hAnsi="仿宋" w:eastAsia="仿宋"/>
          <w:color w:val="000000"/>
          <w:sz w:val="32"/>
          <w:szCs w:val="32"/>
        </w:rPr>
        <w:t>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pageBreakBefore w:val="0"/>
        <w:kinsoku/>
        <w:wordWrap/>
        <w:overflowPunct/>
        <w:topLinePunct w:val="0"/>
        <w:bidi w:val="0"/>
        <w:spacing w:line="578" w:lineRule="exact"/>
        <w:ind w:firstLine="640"/>
        <w:textAlignment w:val="auto"/>
        <w:outlineLvl w:val="1"/>
        <w:rPr>
          <w:rStyle w:val="25"/>
          <w:rFonts w:ascii="黑体" w:hAnsi="黑体" w:eastAsia="黑体"/>
          <w:b w:val="0"/>
        </w:rPr>
      </w:pPr>
      <w:bookmarkStart w:id="71" w:name="_Toc15377215"/>
      <w:bookmarkStart w:id="72" w:name="_Toc13781"/>
      <w:bookmarkStart w:id="73" w:name="_Toc15396609"/>
      <w:r>
        <w:rPr>
          <w:rFonts w:hint="eastAsia" w:ascii="黑体" w:eastAsia="黑体"/>
          <w:color w:val="000000"/>
          <w:sz w:val="32"/>
          <w:szCs w:val="32"/>
        </w:rPr>
        <w:t>七、</w:t>
      </w:r>
      <w:r>
        <w:rPr>
          <w:rStyle w:val="25"/>
          <w:rFonts w:hint="eastAsia" w:ascii="黑体" w:hAnsi="黑体" w:eastAsia="黑体"/>
        </w:rPr>
        <w:t>“</w:t>
      </w:r>
      <w:r>
        <w:rPr>
          <w:rStyle w:val="25"/>
          <w:rFonts w:hint="eastAsia" w:ascii="黑体" w:hAnsi="黑体" w:eastAsia="黑体"/>
          <w:b w:val="0"/>
        </w:rPr>
        <w:t>三公”经费财政拨款支出决算情况说明</w:t>
      </w:r>
      <w:bookmarkEnd w:id="71"/>
      <w:bookmarkEnd w:id="72"/>
      <w:bookmarkEnd w:id="73"/>
    </w:p>
    <w:p>
      <w:pPr>
        <w:pageBreakBefore w:val="0"/>
        <w:kinsoku/>
        <w:wordWrap/>
        <w:overflowPunct/>
        <w:topLinePunct w:val="0"/>
        <w:bidi w:val="0"/>
        <w:spacing w:line="578" w:lineRule="exact"/>
        <w:ind w:firstLine="640"/>
        <w:textAlignment w:val="auto"/>
        <w:outlineLvl w:val="2"/>
        <w:rPr>
          <w:rFonts w:hint="eastAsia" w:ascii="楷体" w:hAnsi="楷体" w:eastAsia="楷体" w:cs="楷体"/>
          <w:b w:val="0"/>
          <w:bCs/>
          <w:color w:val="000000"/>
          <w:sz w:val="32"/>
          <w:szCs w:val="32"/>
        </w:rPr>
      </w:pPr>
      <w:bookmarkStart w:id="74" w:name="_Toc15377216"/>
      <w:bookmarkStart w:id="75" w:name="_Toc30852"/>
      <w:r>
        <w:rPr>
          <w:rFonts w:hint="eastAsia" w:ascii="楷体" w:hAnsi="楷体" w:eastAsia="楷体" w:cs="楷体"/>
          <w:b w:val="0"/>
          <w:bCs/>
          <w:color w:val="000000"/>
          <w:sz w:val="32"/>
          <w:szCs w:val="32"/>
        </w:rPr>
        <w:t>（一）“三公”经费财政拨款支出决算总体情况说明</w:t>
      </w:r>
      <w:bookmarkEnd w:id="74"/>
      <w:bookmarkEnd w:id="75"/>
    </w:p>
    <w:p>
      <w:pPr>
        <w:pageBreakBefore w:val="0"/>
        <w:kinsoku/>
        <w:wordWrap/>
        <w:overflowPunct/>
        <w:topLinePunct w:val="0"/>
        <w:bidi w:val="0"/>
        <w:spacing w:line="578" w:lineRule="exact"/>
        <w:ind w:firstLine="640"/>
        <w:textAlignment w:val="auto"/>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9年“三公”经费财政拨款支出决算为6.30万元，完成预算</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，决算数</w:t>
      </w:r>
      <w:r>
        <w:rPr>
          <w:rFonts w:hint="eastAsia" w:ascii="仿宋" w:hAnsi="仿宋" w:eastAsia="仿宋"/>
          <w:color w:val="000000"/>
          <w:sz w:val="32"/>
          <w:szCs w:val="32"/>
          <w:lang w:eastAsia="zh-CN"/>
        </w:rPr>
        <w:t>与</w:t>
      </w:r>
      <w:r>
        <w:rPr>
          <w:rFonts w:hint="eastAsia" w:ascii="仿宋" w:hAnsi="仿宋" w:eastAsia="仿宋"/>
          <w:color w:val="000000"/>
          <w:sz w:val="32"/>
          <w:szCs w:val="32"/>
        </w:rPr>
        <w:t>预算数持平。</w:t>
      </w:r>
    </w:p>
    <w:p>
      <w:pPr>
        <w:pageBreakBefore w:val="0"/>
        <w:kinsoku/>
        <w:wordWrap/>
        <w:overflowPunct/>
        <w:topLinePunct w:val="0"/>
        <w:bidi w:val="0"/>
        <w:spacing w:line="578" w:lineRule="exact"/>
        <w:ind w:firstLine="640"/>
        <w:textAlignment w:val="auto"/>
        <w:rPr>
          <w:rFonts w:ascii="仿宋" w:hAnsi="仿宋" w:eastAsia="仿宋"/>
          <w:b/>
          <w:color w:val="FF0000"/>
          <w:sz w:val="30"/>
          <w:szCs w:val="30"/>
        </w:rPr>
      </w:pPr>
      <w:r>
        <w:rPr>
          <w:rFonts w:hint="eastAsia" w:ascii="仿宋" w:hAnsi="仿宋" w:eastAsia="仿宋"/>
          <w:b/>
          <w:color w:val="FF0000"/>
          <w:sz w:val="30"/>
          <w:szCs w:val="30"/>
        </w:rPr>
        <w:t>（注：上述“预算”口径为调整预算数，包括政府性基金支出决算情况。）</w:t>
      </w:r>
    </w:p>
    <w:p>
      <w:pPr>
        <w:pageBreakBefore w:val="0"/>
        <w:kinsoku/>
        <w:wordWrap/>
        <w:overflowPunct/>
        <w:topLinePunct w:val="0"/>
        <w:bidi w:val="0"/>
        <w:spacing w:line="578" w:lineRule="exact"/>
        <w:ind w:firstLine="640"/>
        <w:textAlignment w:val="auto"/>
        <w:outlineLvl w:val="2"/>
        <w:rPr>
          <w:rFonts w:hint="eastAsia" w:ascii="楷体" w:hAnsi="楷体" w:eastAsia="楷体" w:cs="楷体"/>
          <w:b w:val="0"/>
          <w:bCs/>
          <w:color w:val="000000"/>
          <w:sz w:val="32"/>
          <w:szCs w:val="32"/>
        </w:rPr>
      </w:pPr>
      <w:bookmarkStart w:id="76" w:name="_Toc9045"/>
      <w:bookmarkStart w:id="77" w:name="_Toc15377217"/>
      <w:r>
        <w:rPr>
          <w:rFonts w:hint="eastAsia" w:ascii="楷体" w:hAnsi="楷体" w:eastAsia="楷体" w:cs="楷体"/>
          <w:b w:val="0"/>
          <w:bCs/>
          <w:color w:val="000000"/>
          <w:sz w:val="32"/>
          <w:szCs w:val="32"/>
        </w:rPr>
        <w:t>（二）“三公”经费财政拨款支出决算具体情况说明</w:t>
      </w:r>
      <w:bookmarkEnd w:id="76"/>
      <w:bookmarkEnd w:id="77"/>
    </w:p>
    <w:p>
      <w:pPr>
        <w:pageBreakBefore w:val="0"/>
        <w:kinsoku/>
        <w:wordWrap/>
        <w:overflowPunct/>
        <w:topLinePunct w:val="0"/>
        <w:bidi w:val="0"/>
        <w:spacing w:line="578" w:lineRule="exact"/>
        <w:ind w:firstLine="640"/>
        <w:textAlignment w:val="auto"/>
        <w:rPr>
          <w:rFonts w:hint="eastAsia"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9年“三公”经费财政拨款支出决算中，因公出国（境）费支出决算0万元，占0%；公务用车购置及运行维护费支出决算0万元，占0%；公务接待费支出决算6.30万元，占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。具体情况如下：</w:t>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textAlignment w:val="auto"/>
        <w:rPr>
          <w:rFonts w:hint="eastAsia" w:ascii="仿宋" w:hAnsi="仿宋" w:eastAsia="仿宋"/>
          <w:color w:val="000000"/>
          <w:sz w:val="32"/>
          <w:szCs w:val="32"/>
        </w:rPr>
      </w:pPr>
      <w:r>
        <w:rPr>
          <w:rFonts w:ascii="仿宋_GB2312" w:eastAsia="仿宋_GB2312"/>
          <w:color w:val="000000"/>
          <w:sz w:val="32"/>
          <w:szCs w:val="32"/>
        </w:rPr>
        <w:pict>
          <v:shape id="_x0000_s1027" o:spid="_x0000_s1027" o:spt="75" type="#_x0000_t75" style="position:absolute;left:0pt;margin-left:4.25pt;margin-top:5.95pt;height:175.5pt;width:410.25pt;z-index:251663360;mso-width-relative:page;mso-height-relative:page;" o:ole="t" filled="f" o:preferrelative="t" stroked="f" coordsize="21600,21600">
            <v:path/>
            <v:fill on="f" focussize="0,0"/>
            <v:stroke on="f"/>
            <v:imagedata r:id="rId14" o:title=""/>
            <o:lock v:ext="edit" aspectratio="f"/>
          </v:shape>
          <o:OLEObject Type="Embed" ProgID="Excel.Chart.8" ShapeID="_x0000_s1027" DrawAspect="Content" ObjectID="_1468075726" r:id="rId13">
            <o:LockedField>false</o:LockedField>
          </o:OLEObject>
        </w:pict>
      </w:r>
    </w:p>
    <w:p>
      <w:pPr>
        <w:pageBreakBefore w:val="0"/>
        <w:kinsoku/>
        <w:wordWrap/>
        <w:overflowPunct/>
        <w:topLinePunct w:val="0"/>
        <w:bidi w:val="0"/>
        <w:spacing w:line="578" w:lineRule="exact"/>
        <w:ind w:firstLine="64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textAlignment w:val="auto"/>
        <w:rPr>
          <w:rFonts w:hint="eastAsia" w:ascii="仿宋" w:hAnsi="仿宋" w:eastAsia="仿宋"/>
          <w:color w:val="000000"/>
          <w:sz w:val="32"/>
          <w:szCs w:val="32"/>
        </w:rPr>
      </w:pPr>
    </w:p>
    <w:p>
      <w:pPr>
        <w:pageBreakBefore w:val="0"/>
        <w:kinsoku/>
        <w:wordWrap/>
        <w:overflowPunct/>
        <w:topLinePunct w:val="0"/>
        <w:bidi w:val="0"/>
        <w:spacing w:line="578" w:lineRule="exact"/>
        <w:ind w:firstLine="640"/>
        <w:textAlignment w:val="auto"/>
        <w:rPr>
          <w:rFonts w:hint="eastAsia" w:ascii="仿宋" w:hAnsi="仿宋" w:eastAsia="仿宋"/>
          <w:color w:val="000000"/>
          <w:sz w:val="32"/>
          <w:szCs w:val="32"/>
        </w:rPr>
      </w:pPr>
      <w:r>
        <w:rPr>
          <w:rFonts w:hint="eastAsia" w:ascii="仿宋" w:hAnsi="仿宋" w:eastAsia="仿宋"/>
          <w:color w:val="000000"/>
          <w:sz w:val="30"/>
          <w:szCs w:val="30"/>
        </w:rPr>
        <w:t>（图7：“三公”经费财政拨款支出结构）（饼状图）</w:t>
      </w:r>
    </w:p>
    <w:p>
      <w:pPr>
        <w:pageBreakBefore w:val="0"/>
        <w:kinsoku/>
        <w:wordWrap/>
        <w:overflowPunct/>
        <w:topLinePunct w:val="0"/>
        <w:bidi w:val="0"/>
        <w:spacing w:line="578" w:lineRule="exact"/>
        <w:ind w:firstLine="640"/>
        <w:textAlignment w:val="auto"/>
        <w:rPr>
          <w:rFonts w:ascii="仿宋_GB2312" w:eastAsia="仿宋_GB2312"/>
          <w:b/>
          <w:color w:val="000000"/>
          <w:sz w:val="32"/>
          <w:szCs w:val="32"/>
        </w:rPr>
      </w:pPr>
      <w:r>
        <w:rPr>
          <w:rFonts w:ascii="仿宋_GB2312" w:eastAsia="仿宋_GB2312"/>
          <w:b w:val="0"/>
          <w:bCs/>
          <w:color w:val="000000"/>
          <w:sz w:val="32"/>
          <w:szCs w:val="32"/>
        </w:rPr>
        <w:t>1.</w:t>
      </w:r>
      <w:r>
        <w:rPr>
          <w:rFonts w:hint="eastAsia" w:ascii="仿宋_GB2312" w:eastAsia="仿宋_GB2312"/>
          <w:b w:val="0"/>
          <w:bCs/>
          <w:color w:val="000000"/>
          <w:sz w:val="32"/>
          <w:szCs w:val="32"/>
        </w:rPr>
        <w:t>因公出国（境）经费支出</w:t>
      </w:r>
      <w:r>
        <w:rPr>
          <w:rFonts w:ascii="仿宋_GB2312" w:eastAsia="仿宋_GB2312"/>
          <w:b w:val="0"/>
          <w:bCs/>
          <w:color w:val="000000"/>
          <w:sz w:val="32"/>
          <w:szCs w:val="32"/>
        </w:rPr>
        <w:t>**</w:t>
      </w:r>
      <w:r>
        <w:rPr>
          <w:rFonts w:hint="eastAsia" w:ascii="仿宋_GB2312" w:eastAsia="仿宋_GB2312"/>
          <w:b w:val="0"/>
          <w:bCs/>
          <w:color w:val="000000"/>
          <w:sz w:val="32"/>
          <w:szCs w:val="32"/>
        </w:rPr>
        <w:t>万元，</w:t>
      </w:r>
      <w:r>
        <w:rPr>
          <w:rStyle w:val="14"/>
          <w:rFonts w:hint="eastAsia" w:ascii="仿宋" w:hAnsi="仿宋" w:eastAsia="仿宋"/>
          <w:b w:val="0"/>
          <w:bCs/>
          <w:color w:val="000000"/>
          <w:sz w:val="32"/>
          <w:szCs w:val="32"/>
        </w:rPr>
        <w:t>完成预算</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b w:val="0"/>
          <w:bCs/>
          <w:color w:val="000000"/>
          <w:sz w:val="32"/>
          <w:szCs w:val="32"/>
        </w:rPr>
        <w:t>全年安排因公出国（境）团组</w:t>
      </w:r>
      <w:r>
        <w:rPr>
          <w:rFonts w:ascii="仿宋_GB2312" w:eastAsia="仿宋_GB2312"/>
          <w:b w:val="0"/>
          <w:bCs/>
          <w:color w:val="000000"/>
          <w:sz w:val="32"/>
          <w:szCs w:val="32"/>
        </w:rPr>
        <w:t>**</w:t>
      </w:r>
      <w:r>
        <w:rPr>
          <w:rFonts w:hint="eastAsia" w:ascii="仿宋_GB2312" w:eastAsia="仿宋_GB2312"/>
          <w:b w:val="0"/>
          <w:bCs/>
          <w:color w:val="000000"/>
          <w:sz w:val="32"/>
          <w:szCs w:val="32"/>
        </w:rPr>
        <w:t>次，出国（境）</w:t>
      </w:r>
      <w:r>
        <w:rPr>
          <w:rFonts w:ascii="仿宋_GB2312" w:eastAsia="仿宋_GB2312"/>
          <w:b w:val="0"/>
          <w:bCs/>
          <w:color w:val="000000"/>
          <w:sz w:val="32"/>
          <w:szCs w:val="32"/>
        </w:rPr>
        <w:t>**</w:t>
      </w:r>
      <w:r>
        <w:rPr>
          <w:rFonts w:hint="eastAsia" w:ascii="仿宋_GB2312" w:eastAsia="仿宋_GB2312"/>
          <w:b w:val="0"/>
          <w:bCs/>
          <w:color w:val="000000"/>
          <w:sz w:val="32"/>
          <w:szCs w:val="32"/>
        </w:rPr>
        <w:t>人。因公出国（境）支出决</w:t>
      </w:r>
      <w:r>
        <w:rPr>
          <w:rFonts w:hint="eastAsia" w:ascii="仿宋_GB2312" w:eastAsia="仿宋_GB2312"/>
          <w:color w:val="000000"/>
          <w:sz w:val="32"/>
          <w:szCs w:val="32"/>
        </w:rPr>
        <w:t>算比</w:t>
      </w:r>
      <w:r>
        <w:rPr>
          <w:rFonts w:ascii="仿宋_GB2312" w:eastAsia="仿宋_GB2312"/>
          <w:color w:val="000000"/>
          <w:sz w:val="32"/>
          <w:szCs w:val="32"/>
        </w:rPr>
        <w:t>2017</w:t>
      </w:r>
      <w:r>
        <w:rPr>
          <w:rFonts w:hint="eastAsia" w:ascii="仿宋_GB2312" w:eastAsia="仿宋_GB2312"/>
          <w:color w:val="000000"/>
          <w:sz w:val="32"/>
          <w:szCs w:val="32"/>
        </w:rPr>
        <w:t>年增加</w:t>
      </w:r>
      <w:r>
        <w:rPr>
          <w:rFonts w:ascii="仿宋_GB2312" w:eastAsia="仿宋_GB2312"/>
          <w:color w:val="000000"/>
          <w:sz w:val="32"/>
          <w:szCs w:val="32"/>
        </w:rPr>
        <w:t>/</w:t>
      </w:r>
      <w:r>
        <w:rPr>
          <w:rFonts w:hint="eastAsia" w:ascii="仿宋_GB2312" w:eastAsia="仿宋_GB2312"/>
          <w:color w:val="000000"/>
          <w:sz w:val="32"/>
          <w:szCs w:val="32"/>
        </w:rPr>
        <w:t>减少</w:t>
      </w:r>
      <w:r>
        <w:rPr>
          <w:rFonts w:ascii="仿宋_GB2312" w:eastAsia="仿宋_GB2312"/>
          <w:color w:val="000000"/>
          <w:sz w:val="32"/>
          <w:szCs w:val="32"/>
        </w:rPr>
        <w:t>**</w:t>
      </w:r>
      <w:r>
        <w:rPr>
          <w:rFonts w:hint="eastAsia" w:ascii="仿宋_GB2312" w:eastAsia="仿宋_GB2312"/>
          <w:color w:val="000000"/>
          <w:sz w:val="32"/>
          <w:szCs w:val="32"/>
        </w:rPr>
        <w:t>万元，增长</w:t>
      </w:r>
      <w:r>
        <w:rPr>
          <w:rFonts w:ascii="仿宋_GB2312" w:eastAsia="仿宋_GB2312"/>
          <w:color w:val="000000"/>
          <w:sz w:val="32"/>
          <w:szCs w:val="32"/>
        </w:rPr>
        <w:t>/</w:t>
      </w:r>
      <w:r>
        <w:rPr>
          <w:rFonts w:hint="eastAsia" w:ascii="仿宋_GB2312" w:eastAsia="仿宋_GB2312"/>
          <w:color w:val="000000"/>
          <w:sz w:val="32"/>
          <w:szCs w:val="32"/>
        </w:rPr>
        <w:t>下降</w:t>
      </w:r>
      <w:r>
        <w:rPr>
          <w:rFonts w:ascii="仿宋_GB2312" w:eastAsia="仿宋_GB2312"/>
          <w:color w:val="000000"/>
          <w:sz w:val="32"/>
          <w:szCs w:val="32"/>
        </w:rPr>
        <w:t>**%</w:t>
      </w:r>
      <w:r>
        <w:rPr>
          <w:rFonts w:hint="eastAsia" w:ascii="仿宋_GB2312" w:eastAsia="仿宋_GB2312"/>
          <w:color w:val="000000"/>
          <w:sz w:val="32"/>
          <w:szCs w:val="32"/>
        </w:rPr>
        <w:t>。主要原因是……。</w:t>
      </w:r>
    </w:p>
    <w:p>
      <w:pPr>
        <w:pageBreakBefore w:val="0"/>
        <w:kinsoku/>
        <w:wordWrap/>
        <w:overflowPunct/>
        <w:topLinePunct w:val="0"/>
        <w:bidi w:val="0"/>
        <w:spacing w:line="578" w:lineRule="exact"/>
        <w:ind w:firstLine="640"/>
        <w:textAlignment w:val="auto"/>
        <w:rPr>
          <w:rFonts w:ascii="仿宋_GB2312" w:eastAsia="仿宋_GB2312"/>
          <w:color w:val="000000"/>
          <w:sz w:val="32"/>
          <w:szCs w:val="32"/>
        </w:rPr>
      </w:pPr>
      <w:r>
        <w:rPr>
          <w:rFonts w:hint="eastAsia" w:ascii="仿宋_GB2312" w:eastAsia="仿宋_GB2312"/>
          <w:color w:val="000000"/>
          <w:sz w:val="32"/>
          <w:szCs w:val="32"/>
        </w:rPr>
        <w:t>开支内容包括：…（团组名称、出访地点、取得成效）等。</w:t>
      </w:r>
    </w:p>
    <w:p>
      <w:pPr>
        <w:pageBreakBefore w:val="0"/>
        <w:kinsoku/>
        <w:wordWrap/>
        <w:overflowPunct/>
        <w:topLinePunct w:val="0"/>
        <w:bidi w:val="0"/>
        <w:spacing w:line="578" w:lineRule="exact"/>
        <w:ind w:firstLine="640"/>
        <w:textAlignment w:val="auto"/>
        <w:rPr>
          <w:rFonts w:ascii="仿宋_GB2312" w:eastAsia="仿宋_GB2312"/>
          <w:b w:val="0"/>
          <w:bCs/>
          <w:color w:val="000000"/>
          <w:sz w:val="32"/>
          <w:szCs w:val="32"/>
        </w:rPr>
      </w:pPr>
      <w:r>
        <w:rPr>
          <w:rFonts w:ascii="仿宋_GB2312" w:eastAsia="仿宋_GB2312"/>
          <w:b w:val="0"/>
          <w:bCs/>
          <w:color w:val="000000"/>
          <w:sz w:val="32"/>
          <w:szCs w:val="32"/>
        </w:rPr>
        <w:t>2.</w:t>
      </w:r>
      <w:r>
        <w:rPr>
          <w:rFonts w:hint="eastAsia" w:ascii="仿宋_GB2312" w:eastAsia="仿宋_GB2312"/>
          <w:b w:val="0"/>
          <w:bCs/>
          <w:color w:val="000000"/>
          <w:sz w:val="32"/>
          <w:szCs w:val="32"/>
        </w:rPr>
        <w:t>公务用车购置及运行维护费支出</w:t>
      </w:r>
      <w:r>
        <w:rPr>
          <w:rFonts w:ascii="仿宋_GB2312" w:eastAsia="仿宋_GB2312"/>
          <w:b w:val="0"/>
          <w:bCs/>
          <w:color w:val="000000"/>
          <w:sz w:val="32"/>
          <w:szCs w:val="32"/>
        </w:rPr>
        <w:t>**</w:t>
      </w:r>
      <w:r>
        <w:rPr>
          <w:rFonts w:hint="eastAsia" w:ascii="仿宋_GB2312" w:eastAsia="仿宋_GB2312"/>
          <w:b w:val="0"/>
          <w:bCs/>
          <w:color w:val="000000"/>
          <w:sz w:val="32"/>
          <w:szCs w:val="32"/>
        </w:rPr>
        <w:t>万元</w:t>
      </w:r>
      <w:r>
        <w:rPr>
          <w:rFonts w:ascii="仿宋_GB2312" w:eastAsia="仿宋_GB2312"/>
          <w:b w:val="0"/>
          <w:bCs/>
          <w:color w:val="000000"/>
          <w:sz w:val="32"/>
          <w:szCs w:val="32"/>
        </w:rPr>
        <w:t>,</w:t>
      </w:r>
      <w:r>
        <w:rPr>
          <w:rStyle w:val="14"/>
          <w:rFonts w:hint="eastAsia" w:ascii="仿宋" w:hAnsi="仿宋" w:eastAsia="仿宋"/>
          <w:b w:val="0"/>
          <w:bCs/>
          <w:color w:val="000000"/>
          <w:sz w:val="32"/>
          <w:szCs w:val="32"/>
        </w:rPr>
        <w:t>完成预算</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b w:val="0"/>
          <w:bCs/>
          <w:color w:val="000000"/>
          <w:sz w:val="32"/>
          <w:szCs w:val="32"/>
        </w:rPr>
        <w:t>公务用车购置及运行维护费支出决算比</w:t>
      </w:r>
      <w:r>
        <w:rPr>
          <w:rFonts w:ascii="仿宋_GB2312" w:eastAsia="仿宋_GB2312"/>
          <w:b w:val="0"/>
          <w:bCs/>
          <w:color w:val="000000"/>
          <w:sz w:val="32"/>
          <w:szCs w:val="32"/>
        </w:rPr>
        <w:t>2017</w:t>
      </w:r>
      <w:r>
        <w:rPr>
          <w:rFonts w:hint="eastAsia" w:ascii="仿宋_GB2312" w:eastAsia="仿宋_GB2312"/>
          <w:b w:val="0"/>
          <w:bCs/>
          <w:color w:val="000000"/>
          <w:sz w:val="32"/>
          <w:szCs w:val="32"/>
        </w:rPr>
        <w:t>年增加</w:t>
      </w:r>
      <w:r>
        <w:rPr>
          <w:rFonts w:ascii="仿宋_GB2312" w:eastAsia="仿宋_GB2312"/>
          <w:b w:val="0"/>
          <w:bCs/>
          <w:color w:val="000000"/>
          <w:sz w:val="32"/>
          <w:szCs w:val="32"/>
        </w:rPr>
        <w:t>/</w:t>
      </w:r>
      <w:r>
        <w:rPr>
          <w:rFonts w:hint="eastAsia" w:ascii="仿宋_GB2312" w:eastAsia="仿宋_GB2312"/>
          <w:b w:val="0"/>
          <w:bCs/>
          <w:color w:val="000000"/>
          <w:sz w:val="32"/>
          <w:szCs w:val="32"/>
        </w:rPr>
        <w:t>减少</w:t>
      </w:r>
      <w:r>
        <w:rPr>
          <w:rFonts w:ascii="仿宋_GB2312" w:eastAsia="仿宋_GB2312"/>
          <w:b w:val="0"/>
          <w:bCs/>
          <w:color w:val="000000"/>
          <w:sz w:val="32"/>
          <w:szCs w:val="32"/>
        </w:rPr>
        <w:t>**</w:t>
      </w:r>
      <w:r>
        <w:rPr>
          <w:rFonts w:hint="eastAsia" w:ascii="仿宋_GB2312" w:eastAsia="仿宋_GB2312"/>
          <w:b w:val="0"/>
          <w:bCs/>
          <w:color w:val="000000"/>
          <w:sz w:val="32"/>
          <w:szCs w:val="32"/>
        </w:rPr>
        <w:t>万元，增长</w:t>
      </w:r>
      <w:r>
        <w:rPr>
          <w:rFonts w:ascii="仿宋_GB2312" w:eastAsia="仿宋_GB2312"/>
          <w:b w:val="0"/>
          <w:bCs/>
          <w:color w:val="000000"/>
          <w:sz w:val="32"/>
          <w:szCs w:val="32"/>
        </w:rPr>
        <w:t>/</w:t>
      </w:r>
      <w:r>
        <w:rPr>
          <w:rFonts w:hint="eastAsia" w:ascii="仿宋_GB2312" w:eastAsia="仿宋_GB2312"/>
          <w:b w:val="0"/>
          <w:bCs/>
          <w:color w:val="000000"/>
          <w:sz w:val="32"/>
          <w:szCs w:val="32"/>
        </w:rPr>
        <w:t>下降</w:t>
      </w:r>
      <w:r>
        <w:rPr>
          <w:rFonts w:ascii="仿宋_GB2312" w:eastAsia="仿宋_GB2312"/>
          <w:b w:val="0"/>
          <w:bCs/>
          <w:color w:val="000000"/>
          <w:sz w:val="32"/>
          <w:szCs w:val="32"/>
        </w:rPr>
        <w:t>**%</w:t>
      </w:r>
      <w:r>
        <w:rPr>
          <w:rFonts w:hint="eastAsia" w:ascii="仿宋_GB2312" w:eastAsia="仿宋_GB2312"/>
          <w:b w:val="0"/>
          <w:bCs/>
          <w:color w:val="000000"/>
          <w:sz w:val="32"/>
          <w:szCs w:val="32"/>
        </w:rPr>
        <w:t>。主要原因是……。</w:t>
      </w:r>
    </w:p>
    <w:p>
      <w:pPr>
        <w:pageBreakBefore w:val="0"/>
        <w:kinsoku/>
        <w:wordWrap/>
        <w:overflowPunct/>
        <w:topLinePunct w:val="0"/>
        <w:bidi w:val="0"/>
        <w:spacing w:line="578" w:lineRule="exact"/>
        <w:ind w:firstLine="640" w:firstLineChars="200"/>
        <w:textAlignment w:val="auto"/>
        <w:rPr>
          <w:rFonts w:ascii="仿宋_GB2312" w:eastAsia="仿宋_GB2312"/>
          <w:b w:val="0"/>
          <w:bCs/>
          <w:color w:val="000000"/>
          <w:sz w:val="32"/>
          <w:szCs w:val="32"/>
        </w:rPr>
      </w:pPr>
      <w:r>
        <w:rPr>
          <w:rFonts w:hint="eastAsia" w:ascii="仿宋_GB2312" w:eastAsia="仿宋_GB2312"/>
          <w:b w:val="0"/>
          <w:bCs/>
          <w:color w:val="000000"/>
          <w:sz w:val="32"/>
          <w:szCs w:val="32"/>
        </w:rPr>
        <w:t>其中：公务用车购置支出</w:t>
      </w:r>
      <w:r>
        <w:rPr>
          <w:rFonts w:ascii="仿宋_GB2312" w:eastAsia="仿宋_GB2312"/>
          <w:b w:val="0"/>
          <w:bCs/>
          <w:color w:val="000000"/>
          <w:sz w:val="32"/>
          <w:szCs w:val="32"/>
        </w:rPr>
        <w:t>**</w:t>
      </w:r>
      <w:r>
        <w:rPr>
          <w:rFonts w:hint="eastAsia" w:ascii="仿宋_GB2312" w:eastAsia="仿宋_GB2312"/>
          <w:b w:val="0"/>
          <w:bCs/>
          <w:color w:val="000000"/>
          <w:sz w:val="32"/>
          <w:szCs w:val="32"/>
        </w:rPr>
        <w:t>万元。全年按规定更新购置公务用车</w:t>
      </w:r>
      <w:r>
        <w:rPr>
          <w:rFonts w:ascii="仿宋_GB2312" w:eastAsia="仿宋_GB2312"/>
          <w:b w:val="0"/>
          <w:bCs/>
          <w:color w:val="000000"/>
          <w:sz w:val="32"/>
          <w:szCs w:val="32"/>
        </w:rPr>
        <w:t>**</w:t>
      </w:r>
      <w:r>
        <w:rPr>
          <w:rFonts w:hint="eastAsia" w:ascii="仿宋_GB2312" w:eastAsia="仿宋_GB2312"/>
          <w:b w:val="0"/>
          <w:bCs/>
          <w:color w:val="000000"/>
          <w:sz w:val="32"/>
          <w:szCs w:val="32"/>
        </w:rPr>
        <w:t>辆，其中：轿车</w:t>
      </w:r>
      <w:r>
        <w:rPr>
          <w:rFonts w:ascii="仿宋_GB2312" w:eastAsia="仿宋_GB2312"/>
          <w:b w:val="0"/>
          <w:bCs/>
          <w:color w:val="000000"/>
          <w:sz w:val="32"/>
          <w:szCs w:val="32"/>
        </w:rPr>
        <w:t>**</w:t>
      </w:r>
      <w:r>
        <w:rPr>
          <w:rFonts w:hint="eastAsia" w:ascii="仿宋_GB2312" w:eastAsia="仿宋_GB2312"/>
          <w:b w:val="0"/>
          <w:bCs/>
          <w:color w:val="000000"/>
          <w:sz w:val="32"/>
          <w:szCs w:val="32"/>
        </w:rPr>
        <w:t>辆、金额</w:t>
      </w:r>
      <w:r>
        <w:rPr>
          <w:rFonts w:ascii="仿宋_GB2312" w:eastAsia="仿宋_GB2312"/>
          <w:b w:val="0"/>
          <w:bCs/>
          <w:color w:val="000000"/>
          <w:sz w:val="32"/>
          <w:szCs w:val="32"/>
        </w:rPr>
        <w:t>**</w:t>
      </w:r>
      <w:r>
        <w:rPr>
          <w:rFonts w:hint="eastAsia" w:ascii="仿宋_GB2312" w:eastAsia="仿宋_GB2312"/>
          <w:b w:val="0"/>
          <w:bCs/>
          <w:color w:val="000000"/>
          <w:sz w:val="32"/>
          <w:szCs w:val="32"/>
        </w:rPr>
        <w:t>万元，越野车</w:t>
      </w:r>
      <w:r>
        <w:rPr>
          <w:rFonts w:ascii="仿宋_GB2312" w:eastAsia="仿宋_GB2312"/>
          <w:b w:val="0"/>
          <w:bCs/>
          <w:color w:val="000000"/>
          <w:sz w:val="32"/>
          <w:szCs w:val="32"/>
        </w:rPr>
        <w:t>**</w:t>
      </w:r>
      <w:r>
        <w:rPr>
          <w:rFonts w:hint="eastAsia" w:ascii="仿宋_GB2312" w:eastAsia="仿宋_GB2312"/>
          <w:b w:val="0"/>
          <w:bCs/>
          <w:color w:val="000000"/>
          <w:sz w:val="32"/>
          <w:szCs w:val="32"/>
        </w:rPr>
        <w:t>辆、金额</w:t>
      </w:r>
      <w:r>
        <w:rPr>
          <w:rFonts w:ascii="仿宋_GB2312" w:eastAsia="仿宋_GB2312"/>
          <w:b w:val="0"/>
          <w:bCs/>
          <w:color w:val="000000"/>
          <w:sz w:val="32"/>
          <w:szCs w:val="32"/>
        </w:rPr>
        <w:t>**</w:t>
      </w:r>
      <w:r>
        <w:rPr>
          <w:rFonts w:hint="eastAsia" w:ascii="仿宋_GB2312" w:eastAsia="仿宋_GB2312"/>
          <w:b w:val="0"/>
          <w:bCs/>
          <w:color w:val="000000"/>
          <w:sz w:val="32"/>
          <w:szCs w:val="32"/>
        </w:rPr>
        <w:t>万元，载客汽车</w:t>
      </w:r>
      <w:r>
        <w:rPr>
          <w:rFonts w:ascii="仿宋_GB2312" w:eastAsia="仿宋_GB2312"/>
          <w:b w:val="0"/>
          <w:bCs/>
          <w:color w:val="000000"/>
          <w:sz w:val="32"/>
          <w:szCs w:val="32"/>
        </w:rPr>
        <w:t>**</w:t>
      </w:r>
      <w:r>
        <w:rPr>
          <w:rFonts w:hint="eastAsia" w:ascii="仿宋_GB2312" w:eastAsia="仿宋_GB2312"/>
          <w:b w:val="0"/>
          <w:bCs/>
          <w:color w:val="000000"/>
          <w:sz w:val="32"/>
          <w:szCs w:val="32"/>
        </w:rPr>
        <w:t>辆、金额</w:t>
      </w:r>
      <w:r>
        <w:rPr>
          <w:rFonts w:ascii="仿宋_GB2312" w:eastAsia="仿宋_GB2312"/>
          <w:b w:val="0"/>
          <w:bCs/>
          <w:color w:val="000000"/>
          <w:sz w:val="32"/>
          <w:szCs w:val="32"/>
        </w:rPr>
        <w:t>**</w:t>
      </w:r>
      <w:r>
        <w:rPr>
          <w:rFonts w:hint="eastAsia" w:ascii="仿宋_GB2312" w:eastAsia="仿宋_GB2312"/>
          <w:b w:val="0"/>
          <w:bCs/>
          <w:color w:val="000000"/>
          <w:sz w:val="32"/>
          <w:szCs w:val="32"/>
        </w:rPr>
        <w:t>万元，主要用于…。截至</w:t>
      </w:r>
      <w:r>
        <w:rPr>
          <w:rFonts w:ascii="仿宋_GB2312" w:eastAsia="仿宋_GB2312"/>
          <w:b w:val="0"/>
          <w:bCs/>
          <w:color w:val="000000"/>
          <w:sz w:val="32"/>
          <w:szCs w:val="32"/>
        </w:rPr>
        <w:t>2018</w:t>
      </w:r>
      <w:r>
        <w:rPr>
          <w:rFonts w:hint="eastAsia" w:ascii="仿宋_GB2312" w:eastAsia="仿宋_GB2312"/>
          <w:b w:val="0"/>
          <w:bCs/>
          <w:color w:val="000000"/>
          <w:sz w:val="32"/>
          <w:szCs w:val="32"/>
        </w:rPr>
        <w:t>年</w:t>
      </w:r>
      <w:r>
        <w:rPr>
          <w:rFonts w:ascii="仿宋_GB2312" w:eastAsia="仿宋_GB2312"/>
          <w:b w:val="0"/>
          <w:bCs/>
          <w:color w:val="000000"/>
          <w:sz w:val="32"/>
          <w:szCs w:val="32"/>
        </w:rPr>
        <w:t>12</w:t>
      </w:r>
      <w:r>
        <w:rPr>
          <w:rFonts w:hint="eastAsia" w:ascii="仿宋_GB2312" w:eastAsia="仿宋_GB2312"/>
          <w:b w:val="0"/>
          <w:bCs/>
          <w:color w:val="000000"/>
          <w:sz w:val="32"/>
          <w:szCs w:val="32"/>
        </w:rPr>
        <w:t>月底，单位共有公务用车</w:t>
      </w:r>
      <w:r>
        <w:rPr>
          <w:rFonts w:ascii="仿宋_GB2312" w:eastAsia="仿宋_GB2312"/>
          <w:b w:val="0"/>
          <w:bCs/>
          <w:color w:val="000000"/>
          <w:sz w:val="32"/>
          <w:szCs w:val="32"/>
        </w:rPr>
        <w:t>**</w:t>
      </w:r>
      <w:r>
        <w:rPr>
          <w:rFonts w:hint="eastAsia" w:ascii="仿宋_GB2312" w:eastAsia="仿宋_GB2312"/>
          <w:b w:val="0"/>
          <w:bCs/>
          <w:color w:val="000000"/>
          <w:sz w:val="32"/>
          <w:szCs w:val="32"/>
        </w:rPr>
        <w:t>辆，其中：轿车</w:t>
      </w:r>
      <w:r>
        <w:rPr>
          <w:rFonts w:ascii="仿宋_GB2312" w:eastAsia="仿宋_GB2312"/>
          <w:b w:val="0"/>
          <w:bCs/>
          <w:color w:val="000000"/>
          <w:sz w:val="32"/>
          <w:szCs w:val="32"/>
        </w:rPr>
        <w:t>**</w:t>
      </w:r>
      <w:r>
        <w:rPr>
          <w:rFonts w:hint="eastAsia" w:ascii="仿宋_GB2312" w:eastAsia="仿宋_GB2312"/>
          <w:b w:val="0"/>
          <w:bCs/>
          <w:color w:val="000000"/>
          <w:sz w:val="32"/>
          <w:szCs w:val="32"/>
        </w:rPr>
        <w:t>辆、越野车</w:t>
      </w:r>
      <w:r>
        <w:rPr>
          <w:rFonts w:ascii="仿宋_GB2312" w:eastAsia="仿宋_GB2312"/>
          <w:b w:val="0"/>
          <w:bCs/>
          <w:color w:val="000000"/>
          <w:sz w:val="32"/>
          <w:szCs w:val="32"/>
        </w:rPr>
        <w:t>**</w:t>
      </w:r>
      <w:r>
        <w:rPr>
          <w:rFonts w:hint="eastAsia" w:ascii="仿宋_GB2312" w:eastAsia="仿宋_GB2312"/>
          <w:b w:val="0"/>
          <w:bCs/>
          <w:color w:val="000000"/>
          <w:sz w:val="32"/>
          <w:szCs w:val="32"/>
        </w:rPr>
        <w:t>辆、载客汽车</w:t>
      </w:r>
      <w:r>
        <w:rPr>
          <w:rFonts w:ascii="仿宋_GB2312" w:eastAsia="仿宋_GB2312"/>
          <w:b w:val="0"/>
          <w:bCs/>
          <w:color w:val="000000"/>
          <w:sz w:val="32"/>
          <w:szCs w:val="32"/>
        </w:rPr>
        <w:t>**</w:t>
      </w:r>
      <w:r>
        <w:rPr>
          <w:rFonts w:hint="eastAsia" w:ascii="仿宋_GB2312" w:eastAsia="仿宋_GB2312"/>
          <w:b w:val="0"/>
          <w:bCs/>
          <w:color w:val="000000"/>
          <w:sz w:val="32"/>
          <w:szCs w:val="32"/>
        </w:rPr>
        <w:t>辆。</w:t>
      </w:r>
    </w:p>
    <w:p>
      <w:pPr>
        <w:pageBreakBefore w:val="0"/>
        <w:kinsoku/>
        <w:wordWrap/>
        <w:overflowPunct/>
        <w:topLinePunct w:val="0"/>
        <w:bidi w:val="0"/>
        <w:spacing w:line="578" w:lineRule="exact"/>
        <w:ind w:firstLine="640"/>
        <w:textAlignment w:val="auto"/>
        <w:rPr>
          <w:rFonts w:hint="eastAsia" w:ascii="仿宋" w:hAnsi="仿宋" w:eastAsia="仿宋"/>
          <w:b w:val="0"/>
          <w:bCs/>
          <w:color w:val="000000"/>
          <w:sz w:val="32"/>
          <w:szCs w:val="32"/>
        </w:rPr>
      </w:pPr>
      <w:r>
        <w:rPr>
          <w:rFonts w:hint="eastAsia" w:ascii="仿宋_GB2312" w:eastAsia="仿宋_GB2312"/>
          <w:b w:val="0"/>
          <w:bCs/>
          <w:color w:val="000000"/>
          <w:sz w:val="32"/>
          <w:szCs w:val="32"/>
        </w:rPr>
        <w:t>公务用车运行维护费支出</w:t>
      </w:r>
      <w:r>
        <w:rPr>
          <w:rFonts w:ascii="仿宋_GB2312" w:eastAsia="仿宋_GB2312"/>
          <w:b w:val="0"/>
          <w:bCs/>
          <w:color w:val="000000"/>
          <w:sz w:val="32"/>
          <w:szCs w:val="32"/>
        </w:rPr>
        <w:t>**</w:t>
      </w:r>
      <w:r>
        <w:rPr>
          <w:rFonts w:hint="eastAsia" w:ascii="仿宋_GB2312" w:eastAsia="仿宋_GB2312"/>
          <w:b w:val="0"/>
          <w:bCs/>
          <w:color w:val="000000"/>
          <w:sz w:val="32"/>
          <w:szCs w:val="32"/>
        </w:rPr>
        <w:t>万元。主要用于</w:t>
      </w:r>
      <w:r>
        <w:rPr>
          <w:rFonts w:ascii="仿宋_GB2312" w:eastAsia="仿宋_GB2312"/>
          <w:b w:val="0"/>
          <w:bCs/>
          <w:color w:val="000000"/>
          <w:sz w:val="32"/>
          <w:szCs w:val="32"/>
        </w:rPr>
        <w:t>…</w:t>
      </w:r>
      <w:r>
        <w:rPr>
          <w:rFonts w:hint="eastAsia" w:ascii="仿宋_GB2312" w:eastAsia="仿宋_GB2312"/>
          <w:b w:val="0"/>
          <w:bCs/>
          <w:color w:val="000000"/>
          <w:sz w:val="32"/>
          <w:szCs w:val="32"/>
        </w:rPr>
        <w:t>（具体工作）等所需的公务用车燃料费、维修费、过路过桥费、保险费等支出。</w:t>
      </w:r>
    </w:p>
    <w:p>
      <w:pPr>
        <w:pageBreakBefore w:val="0"/>
        <w:kinsoku/>
        <w:wordWrap/>
        <w:overflowPunct/>
        <w:topLinePunct w:val="0"/>
        <w:bidi w:val="0"/>
        <w:spacing w:line="578" w:lineRule="exact"/>
        <w:ind w:firstLine="640" w:firstLineChars="200"/>
        <w:textAlignment w:val="auto"/>
        <w:rPr>
          <w:rFonts w:hint="eastAsia" w:ascii="仿宋_GB2312" w:eastAsia="仿宋_GB2312"/>
          <w:b w:val="0"/>
          <w:bCs/>
          <w:color w:val="000000"/>
          <w:sz w:val="32"/>
          <w:szCs w:val="32"/>
        </w:rPr>
      </w:pPr>
      <w:r>
        <w:rPr>
          <w:rFonts w:hint="eastAsia" w:ascii="仿宋_GB2312" w:eastAsia="仿宋_GB2312"/>
          <w:b w:val="0"/>
          <w:bCs/>
          <w:color w:val="000000"/>
          <w:sz w:val="32"/>
          <w:szCs w:val="32"/>
          <w:lang w:val="en-US" w:eastAsia="zh-CN"/>
        </w:rPr>
        <w:t>3.</w:t>
      </w:r>
      <w:r>
        <w:rPr>
          <w:rFonts w:hint="eastAsia" w:ascii="仿宋_GB2312" w:eastAsia="仿宋_GB2312"/>
          <w:b w:val="0"/>
          <w:bCs/>
          <w:color w:val="000000"/>
          <w:sz w:val="32"/>
          <w:szCs w:val="32"/>
        </w:rPr>
        <w:t>公务接待费支出</w:t>
      </w:r>
      <w:r>
        <w:rPr>
          <w:rFonts w:hint="eastAsia" w:ascii="仿宋_GB2312" w:eastAsia="仿宋_GB2312"/>
          <w:b w:val="0"/>
          <w:bCs/>
          <w:color w:val="000000"/>
          <w:sz w:val="32"/>
          <w:szCs w:val="32"/>
          <w:lang w:val="en-US" w:eastAsia="zh-CN"/>
        </w:rPr>
        <w:t>6.5</w:t>
      </w:r>
      <w:r>
        <w:rPr>
          <w:rFonts w:hint="eastAsia" w:ascii="仿宋_GB2312" w:eastAsia="仿宋_GB2312"/>
          <w:b w:val="0"/>
          <w:bCs/>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b w:val="0"/>
          <w:bCs/>
          <w:color w:val="000000"/>
          <w:sz w:val="32"/>
          <w:szCs w:val="32"/>
        </w:rPr>
        <w:t>公务接待费支出决算比</w:t>
      </w:r>
      <w:r>
        <w:rPr>
          <w:rFonts w:ascii="仿宋_GB2312" w:eastAsia="仿宋_GB2312"/>
          <w:b w:val="0"/>
          <w:bCs/>
          <w:color w:val="000000"/>
          <w:sz w:val="32"/>
          <w:szCs w:val="32"/>
        </w:rPr>
        <w:t>201</w:t>
      </w:r>
      <w:r>
        <w:rPr>
          <w:rFonts w:hint="eastAsia" w:ascii="仿宋_GB2312" w:eastAsia="仿宋_GB2312"/>
          <w:b w:val="0"/>
          <w:bCs/>
          <w:color w:val="000000"/>
          <w:sz w:val="32"/>
          <w:szCs w:val="32"/>
        </w:rPr>
        <w:t>8年增加</w:t>
      </w:r>
      <w:r>
        <w:rPr>
          <w:rFonts w:ascii="仿宋_GB2312" w:eastAsia="仿宋_GB2312"/>
          <w:b w:val="0"/>
          <w:bCs/>
          <w:color w:val="000000"/>
          <w:sz w:val="32"/>
          <w:szCs w:val="32"/>
        </w:rPr>
        <w:t>/</w:t>
      </w:r>
      <w:r>
        <w:rPr>
          <w:rFonts w:hint="eastAsia" w:ascii="仿宋_GB2312" w:eastAsia="仿宋_GB2312"/>
          <w:b w:val="0"/>
          <w:bCs/>
          <w:color w:val="000000"/>
          <w:sz w:val="32"/>
          <w:szCs w:val="32"/>
        </w:rPr>
        <w:t>减少</w:t>
      </w:r>
      <w:r>
        <w:rPr>
          <w:rFonts w:hint="eastAsia" w:ascii="仿宋_GB2312" w:eastAsia="仿宋_GB2312"/>
          <w:b w:val="0"/>
          <w:bCs/>
          <w:color w:val="000000"/>
          <w:sz w:val="32"/>
          <w:szCs w:val="32"/>
          <w:lang w:val="en-US" w:eastAsia="zh-CN"/>
        </w:rPr>
        <w:t>0</w:t>
      </w:r>
      <w:r>
        <w:rPr>
          <w:rFonts w:hint="eastAsia" w:ascii="仿宋_GB2312" w:eastAsia="仿宋_GB2312"/>
          <w:b w:val="0"/>
          <w:bCs/>
          <w:color w:val="000000"/>
          <w:sz w:val="32"/>
          <w:szCs w:val="32"/>
        </w:rPr>
        <w:t>万元，增长</w:t>
      </w:r>
      <w:r>
        <w:rPr>
          <w:rFonts w:ascii="仿宋_GB2312" w:eastAsia="仿宋_GB2312"/>
          <w:b w:val="0"/>
          <w:bCs/>
          <w:color w:val="000000"/>
          <w:sz w:val="32"/>
          <w:szCs w:val="32"/>
        </w:rPr>
        <w:t>/</w:t>
      </w:r>
      <w:r>
        <w:rPr>
          <w:rFonts w:hint="eastAsia" w:ascii="仿宋_GB2312" w:eastAsia="仿宋_GB2312"/>
          <w:b w:val="0"/>
          <w:bCs/>
          <w:color w:val="000000"/>
          <w:sz w:val="32"/>
          <w:szCs w:val="32"/>
        </w:rPr>
        <w:t>下降</w:t>
      </w:r>
      <w:r>
        <w:rPr>
          <w:rFonts w:hint="eastAsia" w:ascii="仿宋_GB2312" w:eastAsia="仿宋_GB2312"/>
          <w:b w:val="0"/>
          <w:bCs/>
          <w:color w:val="000000"/>
          <w:sz w:val="32"/>
          <w:szCs w:val="32"/>
          <w:lang w:val="en-US" w:eastAsia="zh-CN"/>
        </w:rPr>
        <w:t>0</w:t>
      </w:r>
      <w:r>
        <w:rPr>
          <w:rFonts w:ascii="仿宋_GB2312" w:eastAsia="仿宋_GB2312"/>
          <w:b w:val="0"/>
          <w:bCs/>
          <w:color w:val="000000"/>
          <w:sz w:val="32"/>
          <w:szCs w:val="32"/>
        </w:rPr>
        <w:t>%</w:t>
      </w:r>
      <w:r>
        <w:rPr>
          <w:rFonts w:hint="eastAsia" w:ascii="仿宋_GB2312" w:eastAsia="仿宋_GB2312"/>
          <w:b w:val="0"/>
          <w:bCs/>
          <w:color w:val="000000"/>
          <w:sz w:val="32"/>
          <w:szCs w:val="32"/>
        </w:rPr>
        <w:t>。</w:t>
      </w:r>
      <w:bookmarkStart w:id="78" w:name="_Toc15396610"/>
      <w:bookmarkStart w:id="79" w:name="_Toc15377218"/>
    </w:p>
    <w:p>
      <w:pPr>
        <w:pageBreakBefore w:val="0"/>
        <w:kinsoku/>
        <w:wordWrap/>
        <w:overflowPunct/>
        <w:topLinePunct w:val="0"/>
        <w:bidi w:val="0"/>
        <w:spacing w:line="578" w:lineRule="exact"/>
        <w:ind w:firstLine="640" w:firstLineChars="200"/>
        <w:textAlignment w:val="auto"/>
        <w:rPr>
          <w:rFonts w:ascii="仿宋_GB2312" w:eastAsia="仿宋_GB2312"/>
          <w:b w:val="0"/>
          <w:bCs/>
          <w:color w:val="000000"/>
          <w:sz w:val="32"/>
          <w:szCs w:val="32"/>
        </w:rPr>
      </w:pPr>
      <w:r>
        <w:rPr>
          <w:rFonts w:hint="eastAsia" w:ascii="仿宋_GB2312" w:eastAsia="仿宋_GB2312"/>
          <w:b w:val="0"/>
          <w:bCs/>
          <w:color w:val="000000"/>
          <w:sz w:val="32"/>
          <w:szCs w:val="32"/>
        </w:rPr>
        <w:t>主要用于执行公务、开展业务活动开支的交通费、住宿费、用餐费等。国内公务接待</w:t>
      </w:r>
      <w:r>
        <w:rPr>
          <w:rFonts w:ascii="仿宋_GB2312" w:eastAsia="仿宋_GB2312"/>
          <w:b w:val="0"/>
          <w:bCs/>
          <w:color w:val="000000"/>
          <w:sz w:val="32"/>
          <w:szCs w:val="32"/>
        </w:rPr>
        <w:t>**</w:t>
      </w:r>
      <w:r>
        <w:rPr>
          <w:rFonts w:hint="eastAsia" w:ascii="仿宋_GB2312" w:eastAsia="仿宋_GB2312"/>
          <w:b w:val="0"/>
          <w:bCs/>
          <w:color w:val="000000"/>
          <w:sz w:val="32"/>
          <w:szCs w:val="32"/>
        </w:rPr>
        <w:t>批次，</w:t>
      </w:r>
      <w:r>
        <w:rPr>
          <w:rFonts w:ascii="仿宋_GB2312" w:eastAsia="仿宋_GB2312"/>
          <w:b w:val="0"/>
          <w:bCs/>
          <w:color w:val="000000"/>
          <w:sz w:val="32"/>
          <w:szCs w:val="32"/>
        </w:rPr>
        <w:t>**</w:t>
      </w:r>
      <w:r>
        <w:rPr>
          <w:rFonts w:hint="eastAsia" w:ascii="仿宋_GB2312" w:eastAsia="仿宋_GB2312"/>
          <w:b w:val="0"/>
          <w:bCs/>
          <w:color w:val="000000"/>
          <w:sz w:val="32"/>
          <w:szCs w:val="32"/>
        </w:rPr>
        <w:t>人次（不包括陪同人员），共计支出</w:t>
      </w:r>
      <w:r>
        <w:rPr>
          <w:rFonts w:ascii="仿宋_GB2312" w:eastAsia="仿宋_GB2312"/>
          <w:b w:val="0"/>
          <w:bCs/>
          <w:color w:val="000000"/>
          <w:sz w:val="32"/>
          <w:szCs w:val="32"/>
        </w:rPr>
        <w:t>**</w:t>
      </w:r>
      <w:r>
        <w:rPr>
          <w:rFonts w:hint="eastAsia" w:ascii="仿宋_GB2312" w:eastAsia="仿宋_GB2312"/>
          <w:b w:val="0"/>
          <w:bCs/>
          <w:color w:val="000000"/>
          <w:sz w:val="32"/>
          <w:szCs w:val="32"/>
        </w:rPr>
        <w:t>万元，具体内容包括：…（接待具体项目、金额）。其中：</w:t>
      </w:r>
    </w:p>
    <w:p>
      <w:pPr>
        <w:pageBreakBefore w:val="0"/>
        <w:kinsoku/>
        <w:wordWrap/>
        <w:overflowPunct/>
        <w:topLinePunct w:val="0"/>
        <w:bidi w:val="0"/>
        <w:spacing w:line="578" w:lineRule="exact"/>
        <w:ind w:firstLine="640" w:firstLineChars="200"/>
        <w:textAlignment w:val="auto"/>
        <w:rPr>
          <w:rFonts w:ascii="仿宋_GB2312" w:eastAsia="仿宋_GB2312"/>
          <w:b w:val="0"/>
          <w:bCs/>
          <w:color w:val="000000"/>
          <w:sz w:val="32"/>
          <w:szCs w:val="32"/>
        </w:rPr>
      </w:pPr>
      <w:r>
        <w:rPr>
          <w:rFonts w:hint="eastAsia" w:ascii="仿宋" w:hAnsi="仿宋" w:eastAsia="仿宋"/>
          <w:b w:val="0"/>
          <w:bCs/>
          <w:color w:val="000000"/>
          <w:sz w:val="32"/>
          <w:szCs w:val="32"/>
        </w:rPr>
        <w:t>外事接待支出</w:t>
      </w:r>
      <w:r>
        <w:rPr>
          <w:rFonts w:ascii="仿宋" w:hAnsi="仿宋" w:eastAsia="仿宋"/>
          <w:b w:val="0"/>
          <w:bCs/>
          <w:color w:val="000000"/>
          <w:sz w:val="32"/>
          <w:szCs w:val="32"/>
        </w:rPr>
        <w:t>**</w:t>
      </w:r>
      <w:r>
        <w:rPr>
          <w:rFonts w:hint="eastAsia" w:ascii="仿宋_GB2312" w:eastAsia="仿宋_GB2312"/>
          <w:b w:val="0"/>
          <w:bCs/>
          <w:color w:val="000000"/>
          <w:sz w:val="32"/>
          <w:szCs w:val="32"/>
        </w:rPr>
        <w:t>万元，外事接待</w:t>
      </w:r>
      <w:r>
        <w:rPr>
          <w:rFonts w:ascii="仿宋_GB2312" w:eastAsia="仿宋_GB2312"/>
          <w:b w:val="0"/>
          <w:bCs/>
          <w:color w:val="000000"/>
          <w:sz w:val="32"/>
          <w:szCs w:val="32"/>
        </w:rPr>
        <w:t>**</w:t>
      </w:r>
      <w:r>
        <w:rPr>
          <w:rFonts w:hint="eastAsia" w:ascii="仿宋_GB2312" w:eastAsia="仿宋_GB2312"/>
          <w:b w:val="0"/>
          <w:bCs/>
          <w:color w:val="000000"/>
          <w:sz w:val="32"/>
          <w:szCs w:val="32"/>
        </w:rPr>
        <w:t>批次，</w:t>
      </w:r>
      <w:r>
        <w:rPr>
          <w:rFonts w:ascii="仿宋_GB2312" w:eastAsia="仿宋_GB2312"/>
          <w:b w:val="0"/>
          <w:bCs/>
          <w:color w:val="000000"/>
          <w:sz w:val="32"/>
          <w:szCs w:val="32"/>
        </w:rPr>
        <w:t>**</w:t>
      </w:r>
      <w:r>
        <w:rPr>
          <w:rFonts w:hint="eastAsia" w:ascii="仿宋_GB2312" w:eastAsia="仿宋_GB2312"/>
          <w:b w:val="0"/>
          <w:bCs/>
          <w:color w:val="000000"/>
          <w:sz w:val="32"/>
          <w:szCs w:val="32"/>
        </w:rPr>
        <w:t>人，共计支出</w:t>
      </w:r>
      <w:r>
        <w:rPr>
          <w:rFonts w:ascii="仿宋_GB2312" w:eastAsia="仿宋_GB2312"/>
          <w:b w:val="0"/>
          <w:bCs/>
          <w:color w:val="000000"/>
          <w:sz w:val="32"/>
          <w:szCs w:val="32"/>
        </w:rPr>
        <w:t>**</w:t>
      </w:r>
      <w:r>
        <w:rPr>
          <w:rFonts w:hint="eastAsia" w:ascii="仿宋_GB2312" w:eastAsia="仿宋_GB2312"/>
          <w:b w:val="0"/>
          <w:bCs/>
          <w:color w:val="000000"/>
          <w:sz w:val="32"/>
          <w:szCs w:val="32"/>
        </w:rPr>
        <w:t>万元，主要用于接待</w:t>
      </w:r>
      <w:r>
        <w:rPr>
          <w:rFonts w:ascii="仿宋_GB2312" w:eastAsia="仿宋_GB2312"/>
          <w:b w:val="0"/>
          <w:bCs/>
          <w:color w:val="000000"/>
          <w:sz w:val="32"/>
          <w:szCs w:val="32"/>
        </w:rPr>
        <w:t>…</w:t>
      </w:r>
      <w:r>
        <w:rPr>
          <w:rFonts w:hint="eastAsia" w:ascii="仿宋_GB2312" w:eastAsia="仿宋_GB2312"/>
          <w:b w:val="0"/>
          <w:bCs/>
          <w:color w:val="000000"/>
          <w:sz w:val="32"/>
          <w:szCs w:val="32"/>
        </w:rPr>
        <w:t>（具体项目）。主要用于……</w:t>
      </w:r>
    </w:p>
    <w:p>
      <w:pPr>
        <w:pageBreakBefore w:val="0"/>
        <w:kinsoku/>
        <w:wordWrap/>
        <w:overflowPunct/>
        <w:topLinePunct w:val="0"/>
        <w:bidi w:val="0"/>
        <w:spacing w:line="578" w:lineRule="exact"/>
        <w:ind w:firstLine="640"/>
        <w:textAlignment w:val="auto"/>
        <w:rPr>
          <w:rFonts w:hint="eastAsia" w:ascii="仿宋_GB2312" w:eastAsia="仿宋_GB2312"/>
          <w:color w:val="000000"/>
          <w:sz w:val="32"/>
          <w:szCs w:val="32"/>
        </w:rPr>
      </w:pPr>
      <w:r>
        <w:rPr>
          <w:rFonts w:hint="eastAsia" w:ascii="仿宋" w:hAnsi="仿宋" w:eastAsia="仿宋"/>
          <w:b w:val="0"/>
          <w:bCs/>
          <w:color w:val="000000"/>
          <w:sz w:val="32"/>
          <w:szCs w:val="32"/>
        </w:rPr>
        <w:t>其他国内公务接待支出</w:t>
      </w:r>
      <w:r>
        <w:rPr>
          <w:rFonts w:ascii="仿宋" w:hAnsi="仿宋" w:eastAsia="仿宋"/>
          <w:b w:val="0"/>
          <w:bCs/>
          <w:color w:val="000000"/>
          <w:sz w:val="32"/>
          <w:szCs w:val="32"/>
        </w:rPr>
        <w:t>**</w:t>
      </w:r>
      <w:r>
        <w:rPr>
          <w:rFonts w:hint="eastAsia" w:ascii="仿宋_GB2312" w:eastAsia="仿宋_GB2312"/>
          <w:b w:val="0"/>
          <w:bCs/>
          <w:color w:val="000000"/>
          <w:sz w:val="32"/>
          <w:szCs w:val="32"/>
        </w:rPr>
        <w:t>万元，主要用于</w:t>
      </w:r>
      <w:r>
        <w:rPr>
          <w:rFonts w:hint="eastAsia" w:ascii="仿宋_GB2312" w:eastAsia="仿宋_GB2312"/>
          <w:color w:val="000000"/>
          <w:sz w:val="32"/>
          <w:szCs w:val="32"/>
        </w:rPr>
        <w:t>……</w:t>
      </w:r>
    </w:p>
    <w:p>
      <w:pPr>
        <w:pageBreakBefore w:val="0"/>
        <w:kinsoku/>
        <w:wordWrap/>
        <w:overflowPunct/>
        <w:topLinePunct w:val="0"/>
        <w:bidi w:val="0"/>
        <w:spacing w:line="578" w:lineRule="exact"/>
        <w:ind w:firstLine="640"/>
        <w:textAlignment w:val="auto"/>
        <w:outlineLvl w:val="1"/>
        <w:rPr>
          <w:rStyle w:val="25"/>
          <w:rFonts w:ascii="黑体" w:hAnsi="黑体" w:eastAsia="黑体"/>
        </w:rPr>
      </w:pPr>
      <w:bookmarkStart w:id="80" w:name="_Toc17654"/>
      <w:r>
        <w:rPr>
          <w:rFonts w:hint="eastAsia" w:ascii="黑体" w:eastAsia="黑体"/>
          <w:color w:val="000000"/>
          <w:sz w:val="32"/>
          <w:szCs w:val="32"/>
        </w:rPr>
        <w:t>八、</w:t>
      </w:r>
      <w:r>
        <w:rPr>
          <w:rStyle w:val="25"/>
          <w:rFonts w:hint="eastAsia" w:ascii="黑体" w:hAnsi="黑体" w:eastAsia="黑体"/>
          <w:b w:val="0"/>
        </w:rPr>
        <w:t>政府性基金预算支出决算情况说明</w:t>
      </w:r>
      <w:bookmarkEnd w:id="78"/>
      <w:bookmarkEnd w:id="79"/>
      <w:bookmarkEnd w:id="80"/>
    </w:p>
    <w:p>
      <w:pPr>
        <w:pageBreakBefore w:val="0"/>
        <w:kinsoku/>
        <w:wordWrap/>
        <w:overflowPunct/>
        <w:topLinePunct w:val="0"/>
        <w:bidi w:val="0"/>
        <w:spacing w:line="578" w:lineRule="exact"/>
        <w:ind w:firstLine="640"/>
        <w:textAlignment w:val="auto"/>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9年政府性基金预算拨款支出</w:t>
      </w:r>
      <w:r>
        <w:rPr>
          <w:rFonts w:hint="eastAsia" w:ascii="仿宋_GB2312" w:eastAsia="仿宋_GB2312"/>
          <w:color w:val="000000"/>
          <w:sz w:val="32"/>
          <w:szCs w:val="32"/>
          <w:lang w:val="en-US" w:eastAsia="zh-CN"/>
        </w:rPr>
        <w:t>31</w:t>
      </w:r>
      <w:r>
        <w:rPr>
          <w:rFonts w:hint="eastAsia" w:ascii="仿宋_GB2312" w:eastAsia="仿宋_GB2312"/>
          <w:color w:val="000000"/>
          <w:sz w:val="32"/>
          <w:szCs w:val="32"/>
        </w:rPr>
        <w:t>万元。</w:t>
      </w:r>
    </w:p>
    <w:p>
      <w:pPr>
        <w:pageBreakBefore w:val="0"/>
        <w:numPr>
          <w:ilvl w:val="0"/>
          <w:numId w:val="3"/>
        </w:numPr>
        <w:kinsoku/>
        <w:wordWrap/>
        <w:overflowPunct/>
        <w:topLinePunct w:val="0"/>
        <w:bidi w:val="0"/>
        <w:spacing w:line="578" w:lineRule="exact"/>
        <w:ind w:firstLine="640"/>
        <w:textAlignment w:val="auto"/>
        <w:outlineLvl w:val="1"/>
        <w:rPr>
          <w:rStyle w:val="25"/>
          <w:rFonts w:ascii="黑体" w:hAnsi="黑体" w:eastAsia="黑体"/>
          <w:b w:val="0"/>
        </w:rPr>
      </w:pPr>
      <w:bookmarkStart w:id="81" w:name="_Toc18888"/>
      <w:bookmarkStart w:id="82" w:name="_Toc15396611"/>
      <w:bookmarkStart w:id="83" w:name="_Toc15377219"/>
      <w:r>
        <w:rPr>
          <w:rStyle w:val="25"/>
          <w:rFonts w:hint="eastAsia" w:ascii="黑体" w:hAnsi="黑体" w:eastAsia="黑体"/>
          <w:b w:val="0"/>
        </w:rPr>
        <w:t>国有资本经营预算支出决算情况说明</w:t>
      </w:r>
      <w:bookmarkEnd w:id="81"/>
      <w:bookmarkEnd w:id="82"/>
      <w:bookmarkEnd w:id="83"/>
    </w:p>
    <w:p>
      <w:pPr>
        <w:pageBreakBefore w:val="0"/>
        <w:kinsoku/>
        <w:wordWrap/>
        <w:overflowPunct/>
        <w:topLinePunct w:val="0"/>
        <w:bidi w:val="0"/>
        <w:spacing w:line="578" w:lineRule="exact"/>
        <w:ind w:firstLine="640"/>
        <w:textAlignment w:val="auto"/>
        <w:rPr>
          <w:rFonts w:hint="eastAsia"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9年国有资本经营预算拨款支出</w:t>
      </w:r>
      <w:r>
        <w:rPr>
          <w:rFonts w:ascii="仿宋_GB2312" w:eastAsia="仿宋_GB2312"/>
          <w:color w:val="000000"/>
          <w:sz w:val="32"/>
          <w:szCs w:val="32"/>
        </w:rPr>
        <w:t>**</w:t>
      </w:r>
      <w:r>
        <w:rPr>
          <w:rFonts w:hint="eastAsia" w:ascii="仿宋_GB2312" w:eastAsia="仿宋_GB2312"/>
          <w:color w:val="000000"/>
          <w:sz w:val="32"/>
          <w:szCs w:val="32"/>
        </w:rPr>
        <w:t>万元。</w:t>
      </w:r>
      <w:bookmarkStart w:id="84" w:name="_Toc15377221"/>
      <w:bookmarkStart w:id="85" w:name="_Toc15396612"/>
      <w:bookmarkStart w:id="86" w:name="_Toc20064"/>
    </w:p>
    <w:p>
      <w:pPr>
        <w:pageBreakBefore w:val="0"/>
        <w:kinsoku/>
        <w:wordWrap/>
        <w:overflowPunct/>
        <w:topLinePunct w:val="0"/>
        <w:bidi w:val="0"/>
        <w:spacing w:line="578" w:lineRule="exact"/>
        <w:ind w:firstLine="640"/>
        <w:textAlignment w:val="auto"/>
        <w:rPr>
          <w:rStyle w:val="25"/>
          <w:rFonts w:ascii="黑体" w:hAnsi="黑体" w:eastAsia="黑体"/>
        </w:rPr>
      </w:pPr>
      <w:r>
        <w:rPr>
          <w:rFonts w:hint="eastAsia" w:ascii="黑体" w:hAnsi="黑体" w:eastAsia="黑体"/>
          <w:color w:val="000000"/>
          <w:sz w:val="32"/>
          <w:szCs w:val="32"/>
        </w:rPr>
        <w:t>十</w:t>
      </w:r>
      <w:r>
        <w:rPr>
          <w:rStyle w:val="25"/>
          <w:rFonts w:hint="eastAsia" w:ascii="黑体" w:hAnsi="黑体" w:eastAsia="黑体"/>
        </w:rPr>
        <w:t>、</w:t>
      </w:r>
      <w:r>
        <w:rPr>
          <w:rStyle w:val="25"/>
          <w:rFonts w:hint="eastAsia" w:ascii="黑体" w:hAnsi="黑体" w:eastAsia="黑体"/>
          <w:b w:val="0"/>
        </w:rPr>
        <w:t>其他重要事项的情况说明</w:t>
      </w:r>
      <w:bookmarkEnd w:id="84"/>
      <w:bookmarkEnd w:id="85"/>
      <w:bookmarkEnd w:id="86"/>
    </w:p>
    <w:p>
      <w:pPr>
        <w:pageBreakBefore w:val="0"/>
        <w:kinsoku/>
        <w:wordWrap/>
        <w:overflowPunct/>
        <w:topLinePunct w:val="0"/>
        <w:bidi w:val="0"/>
        <w:spacing w:line="578" w:lineRule="exact"/>
        <w:ind w:firstLine="640" w:firstLineChars="200"/>
        <w:textAlignment w:val="auto"/>
        <w:outlineLvl w:val="2"/>
        <w:rPr>
          <w:rFonts w:hint="eastAsia" w:ascii="楷体" w:hAnsi="楷体" w:eastAsia="楷体" w:cs="楷体"/>
          <w:b w:val="0"/>
          <w:bCs/>
          <w:color w:val="000000"/>
          <w:sz w:val="32"/>
          <w:szCs w:val="32"/>
        </w:rPr>
      </w:pPr>
      <w:bookmarkStart w:id="87" w:name="_Toc15377222"/>
      <w:bookmarkStart w:id="88" w:name="_Toc22241"/>
      <w:r>
        <w:rPr>
          <w:rFonts w:hint="eastAsia" w:ascii="楷体" w:hAnsi="楷体" w:eastAsia="楷体" w:cs="楷体"/>
          <w:b w:val="0"/>
          <w:bCs/>
          <w:color w:val="000000"/>
          <w:sz w:val="32"/>
          <w:szCs w:val="32"/>
        </w:rPr>
        <w:t>（一）机关运行经费支出情况</w:t>
      </w:r>
      <w:bookmarkEnd w:id="87"/>
      <w:bookmarkEnd w:id="88"/>
    </w:p>
    <w:p>
      <w:pPr>
        <w:pageBreakBefore w:val="0"/>
        <w:kinsoku/>
        <w:wordWrap/>
        <w:overflowPunct/>
        <w:topLinePunct w:val="0"/>
        <w:bidi w:val="0"/>
        <w:spacing w:line="578" w:lineRule="exact"/>
        <w:ind w:firstLine="640" w:firstLineChars="200"/>
        <w:textAlignment w:val="auto"/>
        <w:rPr>
          <w:rFonts w:hint="eastAsia" w:ascii="仿宋_GB2312" w:eastAsia="仿宋_GB2312"/>
          <w:color w:val="000000" w:themeColor="text1"/>
          <w:sz w:val="32"/>
          <w:szCs w:val="32"/>
          <w:lang w:eastAsia="zh-CN"/>
          <w14:textFill>
            <w14:solidFill>
              <w14:schemeClr w14:val="tx1"/>
            </w14:solidFill>
          </w14:textFill>
        </w:rPr>
      </w:pPr>
      <w:r>
        <w:rPr>
          <w:rFonts w:ascii="仿宋_GB2312" w:eastAsia="仿宋_GB2312"/>
          <w:color w:val="000000"/>
          <w:sz w:val="32"/>
          <w:szCs w:val="32"/>
        </w:rPr>
        <w:t>201</w:t>
      </w:r>
      <w:r>
        <w:rPr>
          <w:rFonts w:hint="eastAsia" w:ascii="仿宋_GB2312" w:eastAsia="仿宋_GB2312"/>
          <w:color w:val="000000"/>
          <w:sz w:val="32"/>
          <w:szCs w:val="32"/>
        </w:rPr>
        <w:t>9年，</w:t>
      </w:r>
      <w:r>
        <w:rPr>
          <w:rFonts w:hint="eastAsia" w:ascii="仿宋_GB2312" w:eastAsia="仿宋_GB2312"/>
          <w:color w:val="000000"/>
          <w:sz w:val="32"/>
          <w:szCs w:val="32"/>
          <w:lang w:eastAsia="zh-CN"/>
        </w:rPr>
        <w:t>宣汉县桃花镇人民政府</w:t>
      </w:r>
      <w:r>
        <w:rPr>
          <w:rFonts w:hint="eastAsia" w:ascii="仿宋_GB2312" w:eastAsia="仿宋_GB2312"/>
          <w:color w:val="000000"/>
          <w:sz w:val="32"/>
          <w:szCs w:val="32"/>
        </w:rPr>
        <w:t>机关运行经费支出155.95万元，比</w:t>
      </w:r>
      <w:r>
        <w:rPr>
          <w:rFonts w:ascii="仿宋_GB2312" w:eastAsia="仿宋_GB2312"/>
          <w:color w:val="000000"/>
          <w:sz w:val="32"/>
          <w:szCs w:val="32"/>
        </w:rPr>
        <w:t>201</w:t>
      </w:r>
      <w:r>
        <w:rPr>
          <w:rFonts w:hint="eastAsia" w:ascii="仿宋_GB2312" w:eastAsia="仿宋_GB2312"/>
          <w:color w:val="000000"/>
          <w:sz w:val="32"/>
          <w:szCs w:val="32"/>
        </w:rPr>
        <w:t>8年减少</w:t>
      </w:r>
      <w:r>
        <w:rPr>
          <w:rFonts w:hint="eastAsia" w:ascii="仿宋_GB2312" w:eastAsia="仿宋_GB2312"/>
          <w:color w:val="000000"/>
          <w:sz w:val="32"/>
          <w:szCs w:val="32"/>
          <w:lang w:val="en-US" w:eastAsia="zh-CN"/>
        </w:rPr>
        <w:t>101.56</w:t>
      </w:r>
      <w:r>
        <w:rPr>
          <w:rFonts w:hint="eastAsia" w:ascii="仿宋_GB2312" w:eastAsia="仿宋_GB2312"/>
          <w:color w:val="000000"/>
          <w:sz w:val="32"/>
          <w:szCs w:val="32"/>
        </w:rPr>
        <w:t>万元，下降</w:t>
      </w:r>
      <w:r>
        <w:rPr>
          <w:rFonts w:hint="eastAsia" w:ascii="仿宋_GB2312" w:eastAsia="仿宋_GB2312"/>
          <w:color w:val="000000"/>
          <w:sz w:val="32"/>
          <w:szCs w:val="32"/>
          <w:lang w:val="en-US" w:eastAsia="zh-CN"/>
        </w:rPr>
        <w:t>39.44</w:t>
      </w:r>
      <w:r>
        <w:rPr>
          <w:rFonts w:ascii="仿宋_GB2312" w:eastAsia="仿宋_GB2312"/>
          <w:color w:val="000000"/>
          <w:sz w:val="32"/>
          <w:szCs w:val="32"/>
        </w:rPr>
        <w:t>%</w:t>
      </w:r>
      <w:r>
        <w:rPr>
          <w:rFonts w:hint="eastAsia" w:ascii="仿宋_GB2312" w:eastAsia="仿宋_GB2312"/>
          <w:color w:val="000000"/>
          <w:sz w:val="32"/>
          <w:szCs w:val="32"/>
          <w:lang w:eastAsia="zh-CN"/>
        </w:rPr>
        <w:t>。</w:t>
      </w:r>
    </w:p>
    <w:p>
      <w:pPr>
        <w:pageBreakBefore w:val="0"/>
        <w:kinsoku/>
        <w:wordWrap/>
        <w:overflowPunct/>
        <w:topLinePunct w:val="0"/>
        <w:autoSpaceDE w:val="0"/>
        <w:autoSpaceDN w:val="0"/>
        <w:bidi w:val="0"/>
        <w:adjustRightInd w:val="0"/>
        <w:spacing w:line="578" w:lineRule="exact"/>
        <w:ind w:firstLine="640" w:firstLineChars="200"/>
        <w:jc w:val="left"/>
        <w:textAlignment w:val="auto"/>
        <w:outlineLvl w:val="2"/>
        <w:rPr>
          <w:rFonts w:hint="eastAsia" w:ascii="楷体" w:hAnsi="楷体" w:eastAsia="楷体" w:cs="楷体"/>
          <w:b w:val="0"/>
          <w:bCs/>
          <w:color w:val="000000"/>
          <w:sz w:val="32"/>
          <w:szCs w:val="32"/>
        </w:rPr>
      </w:pPr>
      <w:bookmarkStart w:id="89" w:name="_Toc19507"/>
      <w:bookmarkStart w:id="90" w:name="_Toc15377223"/>
      <w:r>
        <w:rPr>
          <w:rFonts w:hint="eastAsia" w:ascii="楷体" w:hAnsi="楷体" w:eastAsia="楷体" w:cs="楷体"/>
          <w:b w:val="0"/>
          <w:bCs/>
          <w:color w:val="000000"/>
          <w:sz w:val="32"/>
          <w:szCs w:val="32"/>
        </w:rPr>
        <w:t>（二）政府采购支出情况</w:t>
      </w:r>
      <w:bookmarkEnd w:id="89"/>
      <w:bookmarkEnd w:id="90"/>
    </w:p>
    <w:p>
      <w:pPr>
        <w:pageBreakBefore w:val="0"/>
        <w:kinsoku/>
        <w:wordWrap/>
        <w:overflowPunct/>
        <w:topLinePunct w:val="0"/>
        <w:bidi w:val="0"/>
        <w:spacing w:line="578" w:lineRule="exact"/>
        <w:ind w:firstLine="640" w:firstLineChars="200"/>
        <w:textAlignment w:val="auto"/>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w:t>
      </w:r>
      <w:r>
        <w:rPr>
          <w:rFonts w:ascii="仿宋_GB2312" w:eastAsia="仿宋_GB2312"/>
          <w:color w:val="000000"/>
          <w:sz w:val="32"/>
          <w:szCs w:val="32"/>
        </w:rPr>
        <w:t>***</w:t>
      </w:r>
      <w:r>
        <w:rPr>
          <w:rFonts w:hint="eastAsia" w:ascii="仿宋_GB2312" w:eastAsia="仿宋_GB2312"/>
          <w:color w:val="000000"/>
          <w:sz w:val="32"/>
          <w:szCs w:val="32"/>
        </w:rPr>
        <w:t>政府采购支出总额</w:t>
      </w:r>
      <w:r>
        <w:rPr>
          <w:rFonts w:ascii="仿宋_GB2312" w:eastAsia="仿宋_GB2312"/>
          <w:color w:val="000000"/>
          <w:sz w:val="32"/>
          <w:szCs w:val="32"/>
        </w:rPr>
        <w:t>**</w:t>
      </w:r>
      <w:r>
        <w:rPr>
          <w:rFonts w:hint="eastAsia" w:ascii="仿宋_GB2312" w:eastAsia="仿宋_GB2312"/>
          <w:color w:val="000000"/>
          <w:sz w:val="32"/>
          <w:szCs w:val="32"/>
        </w:rPr>
        <w:t>万元，其中：政府采购货物支出</w:t>
      </w:r>
      <w:r>
        <w:rPr>
          <w:rFonts w:ascii="仿宋_GB2312" w:eastAsia="仿宋_GB2312"/>
          <w:color w:val="000000"/>
          <w:sz w:val="32"/>
          <w:szCs w:val="32"/>
        </w:rPr>
        <w:t>**</w:t>
      </w:r>
      <w:r>
        <w:rPr>
          <w:rFonts w:hint="eastAsia" w:ascii="仿宋_GB2312" w:eastAsia="仿宋_GB2312"/>
          <w:color w:val="000000"/>
          <w:sz w:val="32"/>
          <w:szCs w:val="32"/>
        </w:rPr>
        <w:t>万元、政府采购工程支出</w:t>
      </w:r>
      <w:r>
        <w:rPr>
          <w:rFonts w:ascii="仿宋_GB2312" w:eastAsia="仿宋_GB2312"/>
          <w:color w:val="000000"/>
          <w:sz w:val="32"/>
          <w:szCs w:val="32"/>
        </w:rPr>
        <w:t>**</w:t>
      </w:r>
      <w:r>
        <w:rPr>
          <w:rFonts w:hint="eastAsia" w:ascii="仿宋_GB2312" w:eastAsia="仿宋_GB2312"/>
          <w:color w:val="000000"/>
          <w:sz w:val="32"/>
          <w:szCs w:val="32"/>
        </w:rPr>
        <w:t>万元、政府采购服务支出</w:t>
      </w:r>
      <w:r>
        <w:rPr>
          <w:rFonts w:ascii="仿宋_GB2312" w:eastAsia="仿宋_GB2312"/>
          <w:color w:val="000000"/>
          <w:sz w:val="32"/>
          <w:szCs w:val="32"/>
        </w:rPr>
        <w:t>**</w:t>
      </w:r>
      <w:r>
        <w:rPr>
          <w:rFonts w:hint="eastAsia" w:ascii="仿宋_GB2312" w:eastAsia="仿宋_GB2312"/>
          <w:color w:val="000000"/>
          <w:sz w:val="32"/>
          <w:szCs w:val="32"/>
        </w:rPr>
        <w:t>万元。主要用于</w:t>
      </w:r>
      <w:r>
        <w:rPr>
          <w:rFonts w:ascii="仿宋_GB2312" w:eastAsia="仿宋_GB2312"/>
          <w:color w:val="000000"/>
          <w:sz w:val="32"/>
          <w:szCs w:val="32"/>
        </w:rPr>
        <w:t>…</w:t>
      </w:r>
      <w:r>
        <w:rPr>
          <w:rFonts w:hint="eastAsia" w:ascii="仿宋_GB2312" w:eastAsia="仿宋_GB2312"/>
          <w:color w:val="000000"/>
          <w:sz w:val="32"/>
          <w:szCs w:val="32"/>
        </w:rPr>
        <w:t>（具体工作）。授予中小企业合同金额</w:t>
      </w:r>
      <w:r>
        <w:rPr>
          <w:rFonts w:ascii="仿宋_GB2312" w:eastAsia="仿宋_GB2312"/>
          <w:color w:val="000000"/>
          <w:sz w:val="32"/>
          <w:szCs w:val="32"/>
        </w:rPr>
        <w:t>**</w:t>
      </w:r>
      <w:r>
        <w:rPr>
          <w:rFonts w:hint="eastAsia" w:ascii="仿宋_GB2312" w:eastAsia="仿宋_GB2312"/>
          <w:color w:val="000000"/>
          <w:sz w:val="32"/>
          <w:szCs w:val="32"/>
        </w:rPr>
        <w:t>万元，占政府采购支出总额的</w:t>
      </w:r>
      <w:r>
        <w:rPr>
          <w:rFonts w:ascii="仿宋_GB2312" w:eastAsia="仿宋_GB2312"/>
          <w:color w:val="000000"/>
          <w:sz w:val="32"/>
          <w:szCs w:val="32"/>
        </w:rPr>
        <w:t>**%</w:t>
      </w:r>
      <w:r>
        <w:rPr>
          <w:rFonts w:hint="eastAsia" w:ascii="仿宋_GB2312" w:eastAsia="仿宋_GB2312"/>
          <w:color w:val="000000"/>
          <w:sz w:val="32"/>
          <w:szCs w:val="32"/>
        </w:rPr>
        <w:t>，其中：授予小微企业合同金额</w:t>
      </w:r>
      <w:r>
        <w:rPr>
          <w:rFonts w:ascii="仿宋_GB2312" w:eastAsia="仿宋_GB2312"/>
          <w:color w:val="000000"/>
          <w:sz w:val="32"/>
          <w:szCs w:val="32"/>
        </w:rPr>
        <w:t>**</w:t>
      </w:r>
      <w:r>
        <w:rPr>
          <w:rFonts w:hint="eastAsia" w:ascii="仿宋_GB2312" w:eastAsia="仿宋_GB2312"/>
          <w:color w:val="000000"/>
          <w:sz w:val="32"/>
          <w:szCs w:val="32"/>
        </w:rPr>
        <w:t>万元，占政府采购支出总额的</w:t>
      </w:r>
      <w:r>
        <w:rPr>
          <w:rFonts w:ascii="仿宋_GB2312" w:eastAsia="仿宋_GB2312"/>
          <w:color w:val="000000"/>
          <w:sz w:val="32"/>
          <w:szCs w:val="32"/>
        </w:rPr>
        <w:t>**%</w:t>
      </w:r>
      <w:r>
        <w:rPr>
          <w:rFonts w:hint="eastAsia" w:ascii="仿宋_GB2312" w:eastAsia="仿宋_GB2312"/>
          <w:color w:val="000000"/>
          <w:sz w:val="32"/>
          <w:szCs w:val="32"/>
        </w:rPr>
        <w:t>。</w:t>
      </w:r>
    </w:p>
    <w:p>
      <w:pPr>
        <w:pageBreakBefore w:val="0"/>
        <w:kinsoku/>
        <w:wordWrap/>
        <w:overflowPunct/>
        <w:topLinePunct w:val="0"/>
        <w:autoSpaceDE w:val="0"/>
        <w:autoSpaceDN w:val="0"/>
        <w:bidi w:val="0"/>
        <w:adjustRightInd w:val="0"/>
        <w:spacing w:line="578" w:lineRule="exact"/>
        <w:ind w:firstLine="640" w:firstLineChars="200"/>
        <w:jc w:val="left"/>
        <w:textAlignment w:val="auto"/>
        <w:outlineLvl w:val="2"/>
        <w:rPr>
          <w:rFonts w:hint="eastAsia" w:ascii="楷体" w:hAnsi="楷体" w:eastAsia="楷体" w:cs="楷体"/>
          <w:b w:val="0"/>
          <w:bCs/>
          <w:color w:val="000000"/>
          <w:sz w:val="32"/>
          <w:szCs w:val="32"/>
        </w:rPr>
      </w:pPr>
      <w:bookmarkStart w:id="91" w:name="_Toc2732"/>
      <w:bookmarkStart w:id="92" w:name="_Toc15377224"/>
      <w:r>
        <w:rPr>
          <w:rFonts w:hint="eastAsia" w:ascii="楷体" w:hAnsi="楷体" w:eastAsia="楷体" w:cs="楷体"/>
          <w:b w:val="0"/>
          <w:bCs/>
          <w:color w:val="000000"/>
          <w:sz w:val="32"/>
          <w:szCs w:val="32"/>
        </w:rPr>
        <w:t>（三）国有资产占有使用情况</w:t>
      </w:r>
      <w:bookmarkEnd w:id="91"/>
      <w:bookmarkEnd w:id="92"/>
    </w:p>
    <w:p>
      <w:pPr>
        <w:pageBreakBefore w:val="0"/>
        <w:kinsoku/>
        <w:wordWrap/>
        <w:overflowPunct/>
        <w:topLinePunct w:val="0"/>
        <w:autoSpaceDE w:val="0"/>
        <w:autoSpaceDN w:val="0"/>
        <w:bidi w:val="0"/>
        <w:adjustRightInd w:val="0"/>
        <w:spacing w:line="578" w:lineRule="exact"/>
        <w:ind w:firstLine="640" w:firstLineChars="200"/>
        <w:jc w:val="left"/>
        <w:textAlignment w:val="auto"/>
        <w:rPr>
          <w:rFonts w:ascii="仿宋" w:hAnsi="仿宋" w:eastAsia="仿宋"/>
          <w:b/>
          <w:color w:val="FF0000"/>
          <w:sz w:val="32"/>
          <w:szCs w:val="32"/>
        </w:rPr>
      </w:pP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9年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w:t>
      </w:r>
      <w:r>
        <w:rPr>
          <w:rFonts w:ascii="仿宋_GB2312" w:eastAsia="仿宋_GB2312"/>
          <w:color w:val="000000"/>
          <w:sz w:val="32"/>
          <w:szCs w:val="32"/>
        </w:rPr>
        <w:t>***</w:t>
      </w:r>
      <w:r>
        <w:rPr>
          <w:rFonts w:hint="eastAsia" w:ascii="仿宋_GB2312" w:eastAsia="仿宋_GB2312"/>
          <w:color w:val="000000"/>
          <w:sz w:val="32"/>
          <w:szCs w:val="32"/>
        </w:rPr>
        <w:t>共有车辆</w:t>
      </w:r>
      <w:r>
        <w:rPr>
          <w:rFonts w:ascii="仿宋_GB2312" w:eastAsia="仿宋_GB2312"/>
          <w:color w:val="000000"/>
          <w:sz w:val="32"/>
          <w:szCs w:val="32"/>
        </w:rPr>
        <w:t>**</w:t>
      </w:r>
      <w:r>
        <w:rPr>
          <w:rFonts w:hint="eastAsia" w:ascii="仿宋_GB2312" w:eastAsia="仿宋_GB2312"/>
          <w:color w:val="000000"/>
          <w:sz w:val="32"/>
          <w:szCs w:val="32"/>
        </w:rPr>
        <w:t>辆，其中：主要领导干部用车</w:t>
      </w:r>
      <w:r>
        <w:rPr>
          <w:rFonts w:ascii="仿宋_GB2312" w:eastAsia="仿宋_GB2312"/>
          <w:color w:val="000000"/>
          <w:sz w:val="32"/>
          <w:szCs w:val="32"/>
        </w:rPr>
        <w:t>**</w:t>
      </w:r>
      <w:r>
        <w:rPr>
          <w:rFonts w:hint="eastAsia" w:ascii="仿宋_GB2312" w:eastAsia="仿宋_GB2312"/>
          <w:color w:val="000000"/>
          <w:sz w:val="32"/>
          <w:szCs w:val="32"/>
        </w:rPr>
        <w:t>辆、机要通信用车</w:t>
      </w:r>
      <w:r>
        <w:rPr>
          <w:rFonts w:ascii="仿宋_GB2312" w:eastAsia="仿宋_GB2312"/>
          <w:color w:val="000000"/>
          <w:sz w:val="32"/>
          <w:szCs w:val="32"/>
        </w:rPr>
        <w:t>**</w:t>
      </w:r>
      <w:r>
        <w:rPr>
          <w:rFonts w:hint="eastAsia" w:ascii="仿宋_GB2312" w:eastAsia="仿宋_GB2312"/>
          <w:color w:val="000000"/>
          <w:sz w:val="32"/>
          <w:szCs w:val="32"/>
        </w:rPr>
        <w:t>辆、应急保障用车</w:t>
      </w:r>
      <w:r>
        <w:rPr>
          <w:rFonts w:ascii="仿宋_GB2312" w:eastAsia="仿宋_GB2312"/>
          <w:color w:val="000000"/>
          <w:sz w:val="32"/>
          <w:szCs w:val="32"/>
        </w:rPr>
        <w:t>**</w:t>
      </w:r>
      <w:r>
        <w:rPr>
          <w:rFonts w:hint="eastAsia" w:ascii="仿宋_GB2312" w:eastAsia="仿宋_GB2312"/>
          <w:color w:val="000000"/>
          <w:sz w:val="32"/>
          <w:szCs w:val="32"/>
        </w:rPr>
        <w:t>辆、其他用车</w:t>
      </w:r>
      <w:r>
        <w:rPr>
          <w:rFonts w:ascii="仿宋_GB2312" w:eastAsia="仿宋_GB2312"/>
          <w:color w:val="000000"/>
          <w:sz w:val="32"/>
          <w:szCs w:val="32"/>
        </w:rPr>
        <w:t>**</w:t>
      </w:r>
      <w:r>
        <w:rPr>
          <w:rFonts w:hint="eastAsia" w:ascii="仿宋_GB2312" w:eastAsia="仿宋_GB2312"/>
          <w:color w:val="000000"/>
          <w:sz w:val="32"/>
          <w:szCs w:val="32"/>
        </w:rPr>
        <w:t>辆……</w:t>
      </w:r>
      <w:r>
        <w:rPr>
          <w:rFonts w:hint="eastAsia" w:ascii="仿宋_GB2312" w:eastAsia="仿宋_GB2312"/>
          <w:color w:val="000000" w:themeColor="text1"/>
          <w:sz w:val="32"/>
          <w:szCs w:val="32"/>
          <w14:textFill>
            <w14:solidFill>
              <w14:schemeClr w14:val="tx1"/>
            </w14:solidFill>
          </w14:textFill>
        </w:rPr>
        <w:t>其他用车主要是用于……单价</w:t>
      </w:r>
      <w:r>
        <w:rPr>
          <w:rFonts w:ascii="仿宋_GB2312" w:eastAsia="仿宋_GB2312"/>
          <w:color w:val="000000" w:themeColor="text1"/>
          <w:sz w:val="32"/>
          <w:szCs w:val="32"/>
          <w14:textFill>
            <w14:solidFill>
              <w14:schemeClr w14:val="tx1"/>
            </w14:solidFill>
          </w14:textFill>
        </w:rPr>
        <w:t>50</w:t>
      </w:r>
      <w:r>
        <w:rPr>
          <w:rFonts w:hint="eastAsia" w:ascii="仿宋_GB2312" w:eastAsia="仿宋_GB2312"/>
          <w:color w:val="000000" w:themeColor="text1"/>
          <w:sz w:val="32"/>
          <w:szCs w:val="32"/>
          <w14:textFill>
            <w14:solidFill>
              <w14:schemeClr w14:val="tx1"/>
            </w14:solidFill>
          </w14:textFill>
        </w:rPr>
        <w:t>万元以上通用设备</w:t>
      </w:r>
      <w:r>
        <w:rPr>
          <w:rFonts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台（套），单价</w:t>
      </w:r>
      <w:r>
        <w:rPr>
          <w:rFonts w:ascii="仿宋_GB2312" w:eastAsia="仿宋_GB2312"/>
          <w:color w:val="000000" w:themeColor="text1"/>
          <w:sz w:val="32"/>
          <w:szCs w:val="32"/>
          <w14:textFill>
            <w14:solidFill>
              <w14:schemeClr w14:val="tx1"/>
            </w14:solidFill>
          </w14:textFill>
        </w:rPr>
        <w:t>100</w:t>
      </w:r>
      <w:r>
        <w:rPr>
          <w:rFonts w:hint="eastAsia" w:ascii="仿宋_GB2312" w:eastAsia="仿宋_GB2312"/>
          <w:color w:val="000000"/>
          <w:sz w:val="32"/>
          <w:szCs w:val="32"/>
        </w:rPr>
        <w:t>万元以上专用设备</w:t>
      </w:r>
      <w:r>
        <w:rPr>
          <w:rFonts w:ascii="仿宋_GB2312" w:eastAsia="仿宋_GB2312"/>
          <w:color w:val="000000"/>
          <w:sz w:val="32"/>
          <w:szCs w:val="32"/>
        </w:rPr>
        <w:t>**</w:t>
      </w:r>
      <w:r>
        <w:rPr>
          <w:rFonts w:hint="eastAsia" w:ascii="仿宋_GB2312" w:eastAsia="仿宋_GB2312"/>
          <w:color w:val="000000"/>
          <w:sz w:val="32"/>
          <w:szCs w:val="32"/>
        </w:rPr>
        <w:t>台（套）。</w:t>
      </w:r>
    </w:p>
    <w:p>
      <w:pPr>
        <w:pageBreakBefore w:val="0"/>
        <w:kinsoku/>
        <w:wordWrap/>
        <w:overflowPunct/>
        <w:topLinePunct w:val="0"/>
        <w:autoSpaceDE w:val="0"/>
        <w:autoSpaceDN w:val="0"/>
        <w:bidi w:val="0"/>
        <w:adjustRightInd w:val="0"/>
        <w:spacing w:line="578" w:lineRule="exact"/>
        <w:ind w:firstLine="640" w:firstLineChars="200"/>
        <w:jc w:val="left"/>
        <w:textAlignment w:val="auto"/>
        <w:outlineLvl w:val="2"/>
        <w:rPr>
          <w:rFonts w:hint="eastAsia" w:ascii="楷体" w:hAnsi="楷体" w:eastAsia="楷体" w:cs="楷体"/>
          <w:b w:val="0"/>
          <w:bCs/>
          <w:color w:val="000000"/>
          <w:sz w:val="32"/>
          <w:szCs w:val="32"/>
        </w:rPr>
      </w:pPr>
      <w:bookmarkStart w:id="93" w:name="_Toc21287"/>
      <w:r>
        <w:rPr>
          <w:rFonts w:hint="eastAsia" w:ascii="楷体" w:hAnsi="楷体" w:eastAsia="楷体" w:cs="楷体"/>
          <w:b w:val="0"/>
          <w:bCs/>
          <w:color w:val="000000"/>
          <w:sz w:val="32"/>
          <w:szCs w:val="32"/>
        </w:rPr>
        <w:t>（四）预算绩效管理情况。</w:t>
      </w:r>
      <w:bookmarkEnd w:id="93"/>
    </w:p>
    <w:p>
      <w:pPr>
        <w:pageBreakBefore w:val="0"/>
        <w:kinsoku/>
        <w:wordWrap/>
        <w:overflowPunct/>
        <w:topLinePunct w:val="0"/>
        <w:bidi w:val="0"/>
        <w:spacing w:line="578"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根据预算绩效管理要求，本部门（单位）在年初预算编制阶段，组织对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个项目开展了预算事前绩效评估，对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个项目编制了绩效目标，预算执行过程中，选取</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个项目开展绩效监控，年终执行完毕后，对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个项目开展了绩效目标完成情况梳理填报。</w:t>
      </w:r>
    </w:p>
    <w:p>
      <w:pPr>
        <w:pageBreakBefore w:val="0"/>
        <w:kinsoku/>
        <w:wordWrap/>
        <w:overflowPunct/>
        <w:topLinePunct w:val="0"/>
        <w:bidi w:val="0"/>
        <w:spacing w:line="578"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w:t>
      </w:r>
      <w:r>
        <w:rPr>
          <w:rFonts w:ascii="仿宋_GB2312" w:hAnsi="仿宋_GB2312" w:eastAsia="仿宋_GB2312" w:cs="仿宋_GB2312"/>
          <w:sz w:val="32"/>
          <w:szCs w:val="32"/>
        </w:rPr>
        <w:t>201</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年部门整体支出开展绩效自评，从评价情况来看</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个评价项目平均得分</w:t>
      </w:r>
      <w:r>
        <w:rPr>
          <w:rFonts w:ascii="仿宋_GB2312" w:hAnsi="仿宋_GB2312" w:eastAsia="仿宋_GB2312" w:cs="仿宋_GB2312"/>
          <w:sz w:val="32"/>
          <w:szCs w:val="32"/>
        </w:rPr>
        <w:t>91</w:t>
      </w:r>
      <w:r>
        <w:rPr>
          <w:rFonts w:hint="eastAsia" w:ascii="仿宋_GB2312" w:hAnsi="仿宋_GB2312" w:eastAsia="仿宋_GB2312" w:cs="仿宋_GB2312"/>
          <w:sz w:val="32"/>
          <w:szCs w:val="32"/>
        </w:rPr>
        <w:t>分，最高得分</w:t>
      </w:r>
      <w:r>
        <w:rPr>
          <w:rFonts w:ascii="仿宋_GB2312" w:hAnsi="仿宋_GB2312" w:eastAsia="仿宋_GB2312" w:cs="仿宋_GB2312"/>
          <w:sz w:val="32"/>
          <w:szCs w:val="32"/>
        </w:rPr>
        <w:t>93</w:t>
      </w:r>
      <w:r>
        <w:rPr>
          <w:rFonts w:hint="eastAsia" w:ascii="仿宋_GB2312" w:hAnsi="仿宋_GB2312" w:eastAsia="仿宋_GB2312" w:cs="仿宋_GB2312"/>
          <w:sz w:val="32"/>
          <w:szCs w:val="32"/>
        </w:rPr>
        <w:t>分，最低得分</w:t>
      </w:r>
      <w:r>
        <w:rPr>
          <w:rFonts w:ascii="仿宋_GB2312" w:hAnsi="仿宋_GB2312" w:eastAsia="仿宋_GB2312" w:cs="仿宋_GB2312"/>
          <w:sz w:val="32"/>
          <w:szCs w:val="32"/>
        </w:rPr>
        <w:t>90</w:t>
      </w:r>
      <w:r>
        <w:rPr>
          <w:rFonts w:hint="eastAsia" w:ascii="仿宋_GB2312" w:hAnsi="仿宋_GB2312" w:eastAsia="仿宋_GB2312" w:cs="仿宋_GB2312"/>
          <w:sz w:val="32"/>
          <w:szCs w:val="32"/>
        </w:rPr>
        <w:t>分。被评价项目总体绩效目标明确，决策依据充分，资金分配科学合理，项目管理较规范，项目完成良好，基本达到了预期效果</w:t>
      </w:r>
      <w:r>
        <w:rPr>
          <w:rFonts w:hint="eastAsia" w:ascii="宋体" w:hAnsi="宋体" w:cs="宋体"/>
          <w:color w:val="000000"/>
          <w:sz w:val="32"/>
          <w:szCs w:val="32"/>
          <w:shd w:val="clear" w:color="auto" w:fill="FFFFFF"/>
        </w:rPr>
        <w:t>。</w:t>
      </w:r>
      <w:r>
        <w:rPr>
          <w:rFonts w:hint="eastAsia" w:ascii="仿宋_GB2312" w:hAnsi="仿宋_GB2312" w:eastAsia="仿宋_GB2312" w:cs="仿宋_GB2312"/>
          <w:sz w:val="32"/>
          <w:szCs w:val="32"/>
        </w:rPr>
        <w:t>本部门还自行组织了</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个项目绩效评价，从评价情况来看，</w:t>
      </w:r>
      <w:r>
        <w:rPr>
          <w:rFonts w:hint="eastAsia" w:ascii="仿宋_GB2312" w:hAnsi="宋体" w:eastAsia="仿宋_GB2312" w:cs="仿宋_GB2312"/>
          <w:color w:val="000000"/>
          <w:sz w:val="32"/>
          <w:szCs w:val="32"/>
          <w:shd w:val="clear" w:color="auto" w:fill="FFFFFF"/>
        </w:rPr>
        <w:t>预算编制质量较好，预算信息公开符合要求；预算执行进度良好，年末无结转结余；财务制度健全，会计核算总体规范、准确；项目在实施过程中严格执行有关制度规定，基本达到了预期效果。</w:t>
      </w:r>
    </w:p>
    <w:p>
      <w:pPr>
        <w:pageBreakBefore w:val="0"/>
        <w:kinsoku/>
        <w:wordWrap/>
        <w:overflowPunct/>
        <w:topLinePunct w:val="0"/>
        <w:bidi w:val="0"/>
        <w:spacing w:line="578" w:lineRule="exact"/>
        <w:ind w:firstLine="640" w:firstLineChars="200"/>
        <w:textAlignment w:val="auto"/>
        <w:rPr>
          <w:rFonts w:ascii="仿宋_GB2312" w:hAnsi="仿宋_GB2312" w:eastAsia="仿宋_GB2312" w:cs="仿宋_GB2312"/>
          <w:sz w:val="32"/>
          <w:szCs w:val="32"/>
        </w:rPr>
      </w:pPr>
      <w:r>
        <w:rPr>
          <w:rFonts w:hint="eastAsia" w:ascii="楷体_GB2312" w:hAnsi="楷体_GB2312" w:eastAsia="楷体_GB2312" w:cs="楷体_GB2312"/>
          <w:sz w:val="32"/>
          <w:szCs w:val="32"/>
        </w:rPr>
        <w:t>1.项目绩效目标完成情况。</w:t>
      </w:r>
      <w:r>
        <w:rPr>
          <w:rFonts w:hint="eastAsia" w:ascii="楷体_GB2312" w:hAnsi="楷体_GB2312" w:eastAsia="楷体_GB2312" w:cs="楷体_GB2312"/>
          <w:sz w:val="32"/>
          <w:szCs w:val="32"/>
        </w:rPr>
        <w:br w:type="textWrapping"/>
      </w:r>
      <w:r>
        <w:rPr>
          <w:rFonts w:hint="eastAsia" w:ascii="仿宋_GB2312" w:hAnsi="仿宋_GB2312" w:eastAsia="仿宋_GB2312" w:cs="仿宋_GB2312"/>
          <w:sz w:val="32"/>
          <w:szCs w:val="32"/>
        </w:rPr>
        <w:t xml:space="preserve">    本部门在2019年度部门决算中反映</w:t>
      </w:r>
      <w:r>
        <w:rPr>
          <w:rFonts w:hint="eastAsia" w:ascii="仿宋_GB2312" w:hAnsi="仿宋_GB2312" w:eastAsia="仿宋_GB2312" w:cs="仿宋_GB2312"/>
          <w:color w:val="000000"/>
          <w:sz w:val="32"/>
          <w:szCs w:val="32"/>
        </w:rPr>
        <w:t>“农村公路建设及水毁维修补助资金”“环境保护农村场镇污染治理资金””环境设施建设、整治资金”</w:t>
      </w:r>
      <w:r>
        <w:rPr>
          <w:rFonts w:hint="eastAsia" w:ascii="仿宋_GB2312" w:hAnsi="仿宋_GB2312" w:eastAsia="仿宋_GB2312" w:cs="仿宋_GB2312"/>
          <w:color w:val="000000"/>
          <w:sz w:val="32"/>
          <w:szCs w:val="32"/>
          <w:lang w:val="en-US" w:eastAsia="zh-CN"/>
        </w:rPr>
        <w:t>3</w:t>
      </w:r>
      <w:r>
        <w:rPr>
          <w:rFonts w:hint="eastAsia" w:ascii="仿宋_GB2312" w:hAnsi="仿宋_GB2312" w:eastAsia="仿宋_GB2312" w:cs="仿宋_GB2312"/>
          <w:color w:val="000000"/>
          <w:sz w:val="32"/>
          <w:szCs w:val="32"/>
        </w:rPr>
        <w:t>个项目</w:t>
      </w:r>
      <w:r>
        <w:rPr>
          <w:rFonts w:hint="eastAsia" w:ascii="仿宋_GB2312" w:hAnsi="仿宋_GB2312" w:eastAsia="仿宋_GB2312" w:cs="仿宋_GB2312"/>
          <w:sz w:val="32"/>
          <w:szCs w:val="32"/>
        </w:rPr>
        <w:t>绩效目标实际完成情况。（本单位部门项目绩效目标个数在5个以上的，选取5个项目进行公开，目标个数在5个以下的，全部进行公开，公开内容包括选取的全部项目完成情况综述和完成情况表）。</w:t>
      </w:r>
    </w:p>
    <w:p>
      <w:pPr>
        <w:pageBreakBefore w:val="0"/>
        <w:numPr>
          <w:ilvl w:val="0"/>
          <w:numId w:val="0"/>
        </w:numPr>
        <w:kinsoku/>
        <w:wordWrap/>
        <w:overflowPunct/>
        <w:topLinePunct w:val="0"/>
        <w:bidi w:val="0"/>
        <w:spacing w:line="578" w:lineRule="exact"/>
        <w:ind w:firstLine="640" w:firstLineChars="200"/>
        <w:textAlignment w:val="auto"/>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color w:val="000000"/>
          <w:sz w:val="32"/>
          <w:szCs w:val="32"/>
        </w:rPr>
        <w:t>农村公路建设及水毁维修补助资金项目绩效目标完成情况综述。项目全年预算数</w:t>
      </w:r>
      <w:r>
        <w:rPr>
          <w:rFonts w:hint="eastAsia" w:ascii="仿宋_GB2312" w:hAnsi="仿宋_GB2312" w:eastAsia="仿宋_GB2312" w:cs="仿宋_GB2312"/>
          <w:color w:val="000000"/>
          <w:sz w:val="32"/>
          <w:szCs w:val="32"/>
          <w:lang w:val="en-US" w:eastAsia="zh-CN"/>
        </w:rPr>
        <w:t>8</w:t>
      </w:r>
      <w:r>
        <w:rPr>
          <w:rFonts w:ascii="仿宋_GB2312" w:hAnsi="仿宋_GB2312" w:eastAsia="仿宋_GB2312" w:cs="仿宋_GB2312"/>
          <w:color w:val="000000"/>
          <w:sz w:val="32"/>
          <w:szCs w:val="32"/>
        </w:rPr>
        <w:t>9.44</w:t>
      </w:r>
      <w:r>
        <w:rPr>
          <w:rFonts w:hint="eastAsia" w:ascii="仿宋_GB2312" w:hAnsi="仿宋_GB2312" w:eastAsia="仿宋_GB2312" w:cs="仿宋_GB2312"/>
          <w:color w:val="000000"/>
          <w:sz w:val="32"/>
          <w:szCs w:val="32"/>
        </w:rPr>
        <w:t>万元，执行数为</w:t>
      </w:r>
      <w:r>
        <w:rPr>
          <w:rFonts w:hint="eastAsia" w:ascii="仿宋_GB2312" w:hAnsi="仿宋_GB2312" w:eastAsia="仿宋_GB2312" w:cs="仿宋_GB2312"/>
          <w:color w:val="000000"/>
          <w:sz w:val="32"/>
          <w:szCs w:val="32"/>
          <w:lang w:val="en-US" w:eastAsia="zh-CN"/>
        </w:rPr>
        <w:t>8</w:t>
      </w:r>
      <w:r>
        <w:rPr>
          <w:rFonts w:ascii="仿宋_GB2312" w:hAnsi="仿宋_GB2312" w:eastAsia="仿宋_GB2312" w:cs="仿宋_GB2312"/>
          <w:color w:val="000000"/>
          <w:sz w:val="32"/>
          <w:szCs w:val="32"/>
        </w:rPr>
        <w:t>9.44</w:t>
      </w:r>
      <w:r>
        <w:rPr>
          <w:rFonts w:hint="eastAsia" w:ascii="仿宋_GB2312" w:hAnsi="仿宋_GB2312" w:eastAsia="仿宋_GB2312" w:cs="仿宋_GB2312"/>
          <w:color w:val="000000"/>
          <w:sz w:val="32"/>
          <w:szCs w:val="32"/>
        </w:rPr>
        <w:t>万元，完成预算的</w:t>
      </w:r>
      <w:r>
        <w:rPr>
          <w:rFonts w:ascii="仿宋_GB2312" w:hAnsi="仿宋_GB2312" w:eastAsia="仿宋_GB2312" w:cs="仿宋_GB2312"/>
          <w:color w:val="000000"/>
          <w:sz w:val="32"/>
          <w:szCs w:val="32"/>
        </w:rPr>
        <w:t>100%</w:t>
      </w:r>
      <w:r>
        <w:rPr>
          <w:rFonts w:hint="eastAsia" w:ascii="仿宋_GB2312" w:hAnsi="仿宋_GB2312" w:eastAsia="仿宋_GB2312" w:cs="仿宋_GB2312"/>
          <w:color w:val="000000"/>
          <w:sz w:val="32"/>
          <w:szCs w:val="32"/>
        </w:rPr>
        <w:t>。通过项目实施，保障了农村公路畅通，解决了农村农民生产生活（支持、促进、提高……）了农村公路建设及水毁维修</w:t>
      </w:r>
      <w:r>
        <w:rPr>
          <w:rFonts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rPr>
        <w:t>按照项目总体目标简要描述项目成效），发现的主要问题：不能彻底解决农村公路更好的现状。下一步改进措施：积极向上级争取补助资金，更好地解决农村基础设施环境。</w:t>
      </w:r>
    </w:p>
    <w:p>
      <w:pPr>
        <w:pageBreakBefore w:val="0"/>
        <w:kinsoku/>
        <w:wordWrap/>
        <w:overflowPunct/>
        <w:topLinePunct w:val="0"/>
        <w:bidi w:val="0"/>
        <w:spacing w:line="578"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color w:val="000000"/>
          <w:sz w:val="32"/>
          <w:szCs w:val="32"/>
        </w:rPr>
        <w:t>环境保护农村场镇污染治理资金项目绩效目标完成情况综述。项目全年预算数</w:t>
      </w:r>
      <w:r>
        <w:rPr>
          <w:rFonts w:hint="eastAsia" w:ascii="仿宋_GB2312" w:hAnsi="仿宋_GB2312" w:eastAsia="仿宋_GB2312" w:cs="仿宋_GB2312"/>
          <w:color w:val="000000"/>
          <w:sz w:val="32"/>
          <w:szCs w:val="32"/>
          <w:lang w:val="en-US" w:eastAsia="zh-CN"/>
        </w:rPr>
        <w:t>56.56</w:t>
      </w:r>
      <w:r>
        <w:rPr>
          <w:rFonts w:hint="eastAsia" w:ascii="仿宋_GB2312" w:hAnsi="仿宋_GB2312" w:eastAsia="仿宋_GB2312" w:cs="仿宋_GB2312"/>
          <w:color w:val="000000"/>
          <w:sz w:val="32"/>
          <w:szCs w:val="32"/>
        </w:rPr>
        <w:t>万元，执行数为</w:t>
      </w:r>
      <w:r>
        <w:rPr>
          <w:rFonts w:hint="eastAsia" w:ascii="仿宋_GB2312" w:hAnsi="仿宋_GB2312" w:eastAsia="仿宋_GB2312" w:cs="仿宋_GB2312"/>
          <w:color w:val="000000"/>
          <w:sz w:val="32"/>
          <w:szCs w:val="32"/>
          <w:lang w:val="en-US" w:eastAsia="zh-CN"/>
        </w:rPr>
        <w:t>56.56</w:t>
      </w:r>
      <w:r>
        <w:rPr>
          <w:rFonts w:hint="eastAsia" w:ascii="仿宋_GB2312" w:hAnsi="仿宋_GB2312" w:eastAsia="仿宋_GB2312" w:cs="仿宋_GB2312"/>
          <w:color w:val="000000"/>
          <w:sz w:val="32"/>
          <w:szCs w:val="32"/>
        </w:rPr>
        <w:t>万元，完成预算的</w:t>
      </w:r>
      <w:r>
        <w:rPr>
          <w:rFonts w:ascii="仿宋_GB2312" w:hAnsi="仿宋_GB2312" w:eastAsia="仿宋_GB2312" w:cs="仿宋_GB2312"/>
          <w:color w:val="000000"/>
          <w:sz w:val="32"/>
          <w:szCs w:val="32"/>
        </w:rPr>
        <w:t>100%</w:t>
      </w:r>
      <w:r>
        <w:rPr>
          <w:rFonts w:hint="eastAsia" w:ascii="仿宋_GB2312" w:hAnsi="仿宋_GB2312" w:eastAsia="仿宋_GB2312" w:cs="仿宋_GB2312"/>
          <w:color w:val="000000"/>
          <w:sz w:val="32"/>
          <w:szCs w:val="32"/>
        </w:rPr>
        <w:t>。通过项目实施，保障（支持、促进、提高了农村环境质量）环境保护农村场镇污染治理总的来看有待向好发展</w:t>
      </w:r>
      <w:r>
        <w:rPr>
          <w:rFonts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rPr>
        <w:t>按照项目总体目标简要描述项目成效），发现的主要问题：环境保护农村场镇污染治理项目不是短暂的而是长久的，由于镇级资金有限，不能根本解决环境保护农村场镇污染的问题。下一步改进措施：针对我镇的情况，将加大投入，向上级争取补助资金来解决这一现状。</w:t>
      </w:r>
    </w:p>
    <w:p>
      <w:pPr>
        <w:pageBreakBefore w:val="0"/>
        <w:kinsoku/>
        <w:wordWrap/>
        <w:overflowPunct/>
        <w:topLinePunct w:val="0"/>
        <w:bidi w:val="0"/>
        <w:spacing w:line="578"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color w:val="000000"/>
          <w:sz w:val="32"/>
          <w:szCs w:val="32"/>
        </w:rPr>
        <w:t>环境设施项目绩效目标完成情况综述。项目全年预算数</w:t>
      </w:r>
      <w:r>
        <w:rPr>
          <w:rFonts w:hint="eastAsia" w:ascii="仿宋_GB2312" w:hAnsi="仿宋_GB2312" w:eastAsia="仿宋_GB2312" w:cs="仿宋_GB2312"/>
          <w:color w:val="000000"/>
          <w:sz w:val="32"/>
          <w:szCs w:val="32"/>
          <w:lang w:val="en-US" w:eastAsia="zh-CN"/>
        </w:rPr>
        <w:t>44.85</w:t>
      </w:r>
      <w:r>
        <w:rPr>
          <w:rFonts w:hint="eastAsia" w:ascii="仿宋_GB2312" w:hAnsi="仿宋_GB2312" w:eastAsia="仿宋_GB2312" w:cs="仿宋_GB2312"/>
          <w:color w:val="000000"/>
          <w:sz w:val="32"/>
          <w:szCs w:val="32"/>
        </w:rPr>
        <w:t>万元，执行数为</w:t>
      </w:r>
      <w:r>
        <w:rPr>
          <w:rFonts w:hint="eastAsia" w:ascii="仿宋_GB2312" w:hAnsi="仿宋_GB2312" w:eastAsia="仿宋_GB2312" w:cs="仿宋_GB2312"/>
          <w:color w:val="000000"/>
          <w:sz w:val="32"/>
          <w:szCs w:val="32"/>
          <w:lang w:val="en-US" w:eastAsia="zh-CN"/>
        </w:rPr>
        <w:t>44.85</w:t>
      </w:r>
      <w:r>
        <w:rPr>
          <w:rFonts w:hint="eastAsia" w:ascii="仿宋_GB2312" w:hAnsi="仿宋_GB2312" w:eastAsia="仿宋_GB2312" w:cs="仿宋_GB2312"/>
          <w:color w:val="000000"/>
          <w:sz w:val="32"/>
          <w:szCs w:val="32"/>
        </w:rPr>
        <w:t>万元，完成预算的</w:t>
      </w:r>
      <w:r>
        <w:rPr>
          <w:rFonts w:ascii="仿宋_GB2312" w:hAnsi="仿宋_GB2312" w:eastAsia="仿宋_GB2312" w:cs="仿宋_GB2312"/>
          <w:color w:val="000000"/>
          <w:sz w:val="32"/>
          <w:szCs w:val="32"/>
        </w:rPr>
        <w:t>100%</w:t>
      </w:r>
      <w:r>
        <w:rPr>
          <w:rFonts w:hint="eastAsia" w:ascii="仿宋_GB2312" w:hAnsi="仿宋_GB2312" w:eastAsia="仿宋_GB2312" w:cs="仿宋_GB2312"/>
          <w:color w:val="000000"/>
          <w:sz w:val="32"/>
          <w:szCs w:val="32"/>
        </w:rPr>
        <w:t>。通过项目实施，保障（支持、促进、有效提高农村基础设施）了场镇环境设施高效利用，解决了场镇环境设施落后现状实情</w:t>
      </w:r>
      <w:r>
        <w:rPr>
          <w:rFonts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rPr>
        <w:t>按照项目总体目标简要描述项目成效），发现的主要问题：上级上达的资金量有限，不能完全解决场镇环保设施设备。下一步改进措施：希望上级能向农村大力倾斜政策，加大搞入力度。</w:t>
      </w: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rPr>
          <w:rFonts w:ascii="仿宋_GB2312" w:hAnsi="仿宋_GB2312" w:eastAsia="仿宋_GB2312" w:cs="仿宋_GB2312"/>
          <w:sz w:val="32"/>
          <w:szCs w:val="32"/>
        </w:rPr>
      </w:pPr>
    </w:p>
    <w:tbl>
      <w:tblPr>
        <w:tblStyle w:val="12"/>
        <w:tblpPr w:leftFromText="180" w:rightFromText="180" w:vertAnchor="text" w:horzAnchor="page" w:tblpXSpec="center" w:tblpY="423"/>
        <w:tblOverlap w:val="never"/>
        <w:tblW w:w="9960" w:type="dxa"/>
        <w:jc w:val="center"/>
        <w:tblLayout w:type="fixed"/>
        <w:tblCellMar>
          <w:top w:w="0" w:type="dxa"/>
          <w:left w:w="0" w:type="dxa"/>
          <w:bottom w:w="0" w:type="dxa"/>
          <w:right w:w="0" w:type="dxa"/>
        </w:tblCellMar>
      </w:tblPr>
      <w:tblGrid>
        <w:gridCol w:w="390"/>
        <w:gridCol w:w="1367"/>
        <w:gridCol w:w="1025"/>
        <w:gridCol w:w="2392"/>
        <w:gridCol w:w="2394"/>
        <w:gridCol w:w="2392"/>
      </w:tblGrid>
      <w:tr>
        <w:tblPrEx>
          <w:tblCellMar>
            <w:top w:w="0" w:type="dxa"/>
            <w:left w:w="0" w:type="dxa"/>
            <w:bottom w:w="0" w:type="dxa"/>
            <w:right w:w="0" w:type="dxa"/>
          </w:tblCellMar>
        </w:tblPrEx>
        <w:trPr>
          <w:trHeight w:val="1034" w:hRule="atLeast"/>
          <w:jc w:val="center"/>
        </w:trPr>
        <w:tc>
          <w:tcPr>
            <w:tcW w:w="9960" w:type="dxa"/>
            <w:gridSpan w:val="6"/>
            <w:tcBorders>
              <w:top w:val="nil"/>
              <w:left w:val="nil"/>
              <w:bottom w:val="nil"/>
              <w:right w:val="nil"/>
            </w:tcBorders>
            <w:tcMar>
              <w:top w:w="15" w:type="dxa"/>
              <w:left w:w="15" w:type="dxa"/>
              <w:right w:w="15" w:type="dxa"/>
            </w:tcMar>
            <w:vAlign w:val="center"/>
          </w:tcPr>
          <w:p>
            <w:pPr>
              <w:widowControl/>
              <w:jc w:val="center"/>
              <w:textAlignment w:val="center"/>
              <w:rPr>
                <w:rFonts w:ascii="宋体" w:hAnsi="宋体" w:cs="宋体"/>
                <w:color w:val="000000"/>
                <w:sz w:val="36"/>
                <w:szCs w:val="36"/>
              </w:rPr>
            </w:pPr>
            <w:r>
              <w:rPr>
                <w:rFonts w:hint="eastAsia" w:ascii="宋体" w:hAnsi="宋体" w:cs="宋体"/>
                <w:b/>
                <w:bCs/>
                <w:color w:val="000000"/>
                <w:kern w:val="0"/>
                <w:sz w:val="36"/>
                <w:szCs w:val="36"/>
              </w:rPr>
              <w:t>项目绩效目标完成情况表</w:t>
            </w:r>
            <w:r>
              <w:rPr>
                <w:rFonts w:hint="eastAsia" w:ascii="宋体" w:hAnsi="宋体" w:cs="宋体"/>
                <w:b/>
                <w:bCs/>
                <w:color w:val="000000"/>
                <w:kern w:val="0"/>
                <w:sz w:val="36"/>
                <w:szCs w:val="36"/>
              </w:rPr>
              <w:br w:type="textWrapping"/>
            </w:r>
            <w:r>
              <w:rPr>
                <w:rFonts w:hint="eastAsia" w:ascii="宋体" w:hAnsi="宋体" w:cs="宋体"/>
                <w:color w:val="000000"/>
                <w:kern w:val="0"/>
                <w:sz w:val="36"/>
                <w:szCs w:val="36"/>
              </w:rPr>
              <w:t>(2019 年度)</w:t>
            </w:r>
          </w:p>
        </w:tc>
      </w:tr>
      <w:tr>
        <w:tblPrEx>
          <w:tblCellMar>
            <w:top w:w="0" w:type="dxa"/>
            <w:left w:w="0" w:type="dxa"/>
            <w:bottom w:w="0" w:type="dxa"/>
            <w:right w:w="0" w:type="dxa"/>
          </w:tblCellMar>
        </w:tblPrEx>
        <w:trPr>
          <w:trHeight w:val="276" w:hRule="atLeast"/>
          <w:jc w:val="center"/>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kern w:val="0"/>
                <w:sz w:val="24"/>
                <w:szCs w:val="24"/>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农村公路建设及水毁维修补助资金</w:t>
            </w:r>
          </w:p>
        </w:tc>
      </w:tr>
      <w:tr>
        <w:tblPrEx>
          <w:tblCellMar>
            <w:top w:w="0" w:type="dxa"/>
            <w:left w:w="0" w:type="dxa"/>
            <w:bottom w:w="0" w:type="dxa"/>
            <w:right w:w="0" w:type="dxa"/>
          </w:tblCellMar>
        </w:tblPrEx>
        <w:trPr>
          <w:trHeight w:val="276" w:hRule="atLeast"/>
          <w:jc w:val="center"/>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kern w:val="0"/>
                <w:sz w:val="24"/>
                <w:szCs w:val="24"/>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桃花镇人民政府</w:t>
            </w: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kern w:val="0"/>
                <w:sz w:val="24"/>
                <w:szCs w:val="24"/>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kern w:val="0"/>
                <w:sz w:val="24"/>
                <w:szCs w:val="24"/>
              </w:rPr>
              <w:t>预算数: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89.44</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kern w:val="0"/>
                <w:sz w:val="24"/>
                <w:szCs w:val="24"/>
              </w:rPr>
              <w:t>执行数: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89.44</w:t>
            </w:r>
          </w:p>
        </w:tc>
      </w:tr>
      <w:tr>
        <w:tblPrEx>
          <w:tblCellMar>
            <w:top w:w="0" w:type="dxa"/>
            <w:left w:w="0" w:type="dxa"/>
            <w:bottom w:w="0" w:type="dxa"/>
            <w:right w:w="0" w:type="dxa"/>
          </w:tblCellMar>
        </w:tblPrEx>
        <w:trPr>
          <w:trHeight w:val="276"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89.44</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89.44</w:t>
            </w:r>
          </w:p>
        </w:tc>
      </w:tr>
      <w:tr>
        <w:tblPrEx>
          <w:tblCellMar>
            <w:top w:w="0" w:type="dxa"/>
            <w:left w:w="0" w:type="dxa"/>
            <w:bottom w:w="0" w:type="dxa"/>
            <w:right w:w="0" w:type="dxa"/>
          </w:tblCellMar>
        </w:tblPrEx>
        <w:trPr>
          <w:trHeight w:val="1511"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实际完成目标</w:t>
            </w:r>
          </w:p>
        </w:tc>
      </w:tr>
      <w:tr>
        <w:tblPrEx>
          <w:tblCellMar>
            <w:top w:w="0" w:type="dxa"/>
            <w:left w:w="0" w:type="dxa"/>
            <w:bottom w:w="0" w:type="dxa"/>
            <w:right w:w="0" w:type="dxa"/>
          </w:tblCellMar>
        </w:tblPrEx>
        <w:trPr>
          <w:trHeight w:val="1159"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hAns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cs="宋体"/>
                <w:color w:val="000000"/>
                <w:sz w:val="24"/>
              </w:rPr>
              <w:t>解决桃花镇</w:t>
            </w:r>
            <w:r>
              <w:rPr>
                <w:rFonts w:hint="eastAsia" w:ascii="宋体" w:cs="宋体"/>
                <w:color w:val="000000"/>
                <w:sz w:val="24"/>
                <w:lang w:eastAsia="zh-CN"/>
              </w:rPr>
              <w:t>中山村</w:t>
            </w:r>
            <w:r>
              <w:rPr>
                <w:rFonts w:ascii="宋体" w:cs="宋体"/>
                <w:color w:val="000000"/>
                <w:sz w:val="24"/>
              </w:rPr>
              <w:t>2</w:t>
            </w:r>
            <w:r>
              <w:rPr>
                <w:rFonts w:hint="eastAsia" w:ascii="宋体" w:cs="宋体"/>
                <w:color w:val="000000"/>
                <w:sz w:val="24"/>
                <w:lang w:val="en-US" w:eastAsia="zh-CN"/>
              </w:rPr>
              <w:t>-</w:t>
            </w:r>
            <w:r>
              <w:rPr>
                <w:rFonts w:ascii="宋体" w:cs="宋体"/>
                <w:color w:val="000000"/>
                <w:sz w:val="24"/>
              </w:rPr>
              <w:t>4</w:t>
            </w:r>
            <w:r>
              <w:rPr>
                <w:rFonts w:hint="eastAsia" w:ascii="宋体" w:cs="宋体"/>
                <w:color w:val="000000"/>
                <w:sz w:val="24"/>
              </w:rPr>
              <w:t>社无硬化路</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cs="宋体"/>
                <w:color w:val="000000"/>
                <w:sz w:val="24"/>
              </w:rPr>
              <w:t>已解决桃花镇</w:t>
            </w:r>
            <w:r>
              <w:rPr>
                <w:rFonts w:hint="eastAsia" w:ascii="宋体" w:cs="宋体"/>
                <w:color w:val="000000"/>
                <w:sz w:val="24"/>
                <w:lang w:eastAsia="zh-CN"/>
              </w:rPr>
              <w:t>中山</w:t>
            </w:r>
            <w:r>
              <w:rPr>
                <w:rFonts w:hint="eastAsia" w:ascii="宋体" w:cs="宋体"/>
                <w:color w:val="000000"/>
                <w:sz w:val="24"/>
              </w:rPr>
              <w:t>村</w:t>
            </w:r>
            <w:r>
              <w:rPr>
                <w:rFonts w:ascii="宋体" w:cs="宋体"/>
                <w:color w:val="000000"/>
                <w:sz w:val="24"/>
              </w:rPr>
              <w:t>2</w:t>
            </w:r>
            <w:r>
              <w:rPr>
                <w:rFonts w:hint="eastAsia" w:ascii="宋体" w:cs="宋体"/>
                <w:color w:val="000000"/>
                <w:sz w:val="24"/>
                <w:lang w:val="en-US" w:eastAsia="zh-CN"/>
              </w:rPr>
              <w:t>-</w:t>
            </w:r>
            <w:r>
              <w:rPr>
                <w:rFonts w:ascii="宋体" w:cs="宋体"/>
                <w:color w:val="000000"/>
                <w:sz w:val="24"/>
              </w:rPr>
              <w:t>4</w:t>
            </w:r>
            <w:r>
              <w:rPr>
                <w:rFonts w:hint="eastAsia" w:ascii="宋体" w:cs="宋体"/>
                <w:color w:val="000000"/>
                <w:sz w:val="24"/>
              </w:rPr>
              <w:t>社硬化道路</w:t>
            </w:r>
          </w:p>
        </w:tc>
      </w:tr>
      <w:tr>
        <w:tblPrEx>
          <w:tblCellMar>
            <w:top w:w="0" w:type="dxa"/>
            <w:left w:w="0" w:type="dxa"/>
            <w:bottom w:w="0" w:type="dxa"/>
            <w:right w:w="0" w:type="dxa"/>
          </w:tblCellMar>
        </w:tblPrEx>
        <w:trPr>
          <w:trHeight w:val="1042" w:hRule="atLeast"/>
          <w:jc w:val="center"/>
        </w:trPr>
        <w:tc>
          <w:tcPr>
            <w:tcW w:w="390"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实际完成指标值(包含数字及文字描述)</w:t>
            </w:r>
          </w:p>
        </w:tc>
      </w:tr>
      <w:tr>
        <w:tblPrEx>
          <w:tblCellMar>
            <w:top w:w="0" w:type="dxa"/>
            <w:left w:w="0" w:type="dxa"/>
            <w:bottom w:w="0" w:type="dxa"/>
            <w:right w:w="0" w:type="dxa"/>
          </w:tblCellMar>
        </w:tblPrEx>
        <w:trPr>
          <w:trHeight w:val="953"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科学决策</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必要性</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项目符合上级资金管理要求</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按上级文件要求落实到位</w:t>
            </w: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绩效目标</w:t>
            </w:r>
            <w:r>
              <w:rPr>
                <w:rFonts w:ascii="宋体" w:cs="宋体"/>
                <w:color w:val="000000"/>
                <w:sz w:val="24"/>
              </w:rPr>
              <w:t xml:space="preserve"> </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可行性</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经实核查，规划，该项目是可行的</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已按规划该项目实施到位</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资金管理</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资金分配，使用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资金分配使用科学合理、规范有序</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已达到预期指标</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项目执行</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执行规范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管理制度健全，管理过程科学规范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已执行落实</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项目完成</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数量、质量、时效、成本</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按上级文件要求落实到位</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已按上级要求和资金要求按质、按量完成了该项目</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项目效益</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经济、社会、使用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提高该村经济、社会、使用效益</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该项目完成交付使用后，解决了农副产品运输实情，提高了农民收入</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rPr>
            </w:pPr>
            <w:r>
              <w:rPr>
                <w:rFonts w:hint="eastAsia" w:ascii="宋体" w:hAnsi="宋体" w:cs="宋体"/>
                <w:color w:val="000000"/>
                <w:kern w:val="0"/>
                <w:sz w:val="24"/>
              </w:rPr>
              <w:t>……</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r>
      <w:tr>
        <w:tblPrEx>
          <w:tblCellMar>
            <w:top w:w="0" w:type="dxa"/>
            <w:left w:w="0" w:type="dxa"/>
            <w:bottom w:w="0" w:type="dxa"/>
            <w:right w:w="0" w:type="dxa"/>
          </w:tblCellMar>
        </w:tblPrEx>
        <w:trPr>
          <w:trHeight w:val="1050" w:hRule="atLeast"/>
          <w:jc w:val="center"/>
        </w:trPr>
        <w:tc>
          <w:tcPr>
            <w:tcW w:w="390"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Times New Roman" w:eastAsia="宋体" w:cs="宋体"/>
                <w:color w:val="000000"/>
                <w:kern w:val="2"/>
                <w:sz w:val="24"/>
                <w:szCs w:val="24"/>
                <w:lang w:val="en-US" w:eastAsia="zh-CN" w:bidi="ar-SA"/>
              </w:rPr>
            </w:pPr>
            <w:r>
              <w:rPr>
                <w:rFonts w:hint="eastAsia" w:ascii="宋体" w:cs="宋体"/>
                <w:color w:val="000000"/>
                <w:sz w:val="24"/>
              </w:rPr>
              <w:t>该项目交付使用后，人民群众对此项目实施表示非常满意，大在提高人民群众的满意度</w:t>
            </w:r>
          </w:p>
        </w:tc>
      </w:tr>
    </w:tbl>
    <w:p>
      <w:pPr>
        <w:spacing w:line="580" w:lineRule="exact"/>
        <w:ind w:left="630"/>
        <w:rPr>
          <w:rFonts w:ascii="仿宋_GB2312" w:hAnsi="仿宋_GB2312" w:eastAsia="仿宋_GB2312" w:cs="仿宋_GB2312"/>
          <w:sz w:val="32"/>
          <w:szCs w:val="32"/>
        </w:rPr>
      </w:pPr>
    </w:p>
    <w:p>
      <w:pPr>
        <w:spacing w:line="580" w:lineRule="exact"/>
        <w:ind w:left="630"/>
        <w:rPr>
          <w:rFonts w:ascii="仿宋_GB2312" w:hAnsi="仿宋_GB2312" w:eastAsia="仿宋_GB2312" w:cs="仿宋_GB2312"/>
          <w:sz w:val="32"/>
          <w:szCs w:val="32"/>
        </w:rPr>
      </w:pPr>
    </w:p>
    <w:p>
      <w:pPr>
        <w:spacing w:line="580" w:lineRule="exact"/>
        <w:ind w:left="630"/>
        <w:rPr>
          <w:rFonts w:ascii="仿宋_GB2312" w:hAnsi="仿宋_GB2312" w:eastAsia="仿宋_GB2312" w:cs="仿宋_GB2312"/>
          <w:sz w:val="32"/>
          <w:szCs w:val="32"/>
        </w:rPr>
      </w:pPr>
    </w:p>
    <w:p>
      <w:pPr>
        <w:spacing w:line="580" w:lineRule="exact"/>
        <w:ind w:left="630"/>
        <w:rPr>
          <w:rFonts w:ascii="仿宋_GB2312" w:hAnsi="仿宋_GB2312" w:eastAsia="仿宋_GB2312" w:cs="仿宋_GB2312"/>
          <w:sz w:val="32"/>
          <w:szCs w:val="32"/>
        </w:rPr>
      </w:pPr>
    </w:p>
    <w:p>
      <w:pPr>
        <w:spacing w:line="580" w:lineRule="exact"/>
        <w:ind w:left="630"/>
        <w:rPr>
          <w:rFonts w:ascii="仿宋_GB2312" w:hAnsi="仿宋_GB2312" w:eastAsia="仿宋_GB2312" w:cs="仿宋_GB2312"/>
          <w:sz w:val="32"/>
          <w:szCs w:val="32"/>
        </w:rPr>
      </w:pPr>
    </w:p>
    <w:p>
      <w:pPr>
        <w:spacing w:line="580" w:lineRule="exact"/>
        <w:ind w:left="630"/>
        <w:rPr>
          <w:rFonts w:ascii="仿宋_GB2312" w:hAnsi="仿宋_GB2312" w:eastAsia="仿宋_GB2312" w:cs="仿宋_GB2312"/>
          <w:sz w:val="32"/>
          <w:szCs w:val="32"/>
        </w:rPr>
      </w:pPr>
    </w:p>
    <w:p>
      <w:pPr>
        <w:spacing w:line="580" w:lineRule="exact"/>
        <w:ind w:left="630"/>
        <w:rPr>
          <w:rFonts w:ascii="仿宋_GB2312" w:hAnsi="仿宋_GB2312" w:eastAsia="仿宋_GB2312" w:cs="仿宋_GB2312"/>
          <w:sz w:val="32"/>
          <w:szCs w:val="32"/>
        </w:rPr>
      </w:pPr>
    </w:p>
    <w:tbl>
      <w:tblPr>
        <w:tblStyle w:val="12"/>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367"/>
        <w:gridCol w:w="1025"/>
        <w:gridCol w:w="2392"/>
        <w:gridCol w:w="2394"/>
        <w:gridCol w:w="2392"/>
      </w:tblGrid>
      <w:tr>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3"/>
              <w:widowControl/>
              <w:ind w:left="4173" w:leftChars="1310" w:hanging="1422" w:hangingChars="395"/>
              <w:textAlignment w:val="center"/>
              <w:rPr>
                <w:rFonts w:ascii="宋体" w:cs="宋体"/>
                <w:color w:val="000000"/>
                <w:sz w:val="36"/>
                <w:szCs w:val="36"/>
              </w:rPr>
            </w:pPr>
            <w:r>
              <w:rPr>
                <w:rFonts w:hint="eastAsia" w:ascii="黑体" w:hAnsi="黑体" w:eastAsia="黑体" w:cs="宋体"/>
                <w:bCs/>
                <w:color w:val="000000"/>
                <w:kern w:val="0"/>
                <w:sz w:val="36"/>
                <w:szCs w:val="36"/>
              </w:rPr>
              <w:t>项目支出绩效目标完成情况表</w:t>
            </w:r>
            <w:r>
              <w:rPr>
                <w:rFonts w:ascii="宋体" w:cs="宋体"/>
                <w:b/>
                <w:bCs/>
                <w:color w:val="000000"/>
                <w:kern w:val="0"/>
                <w:sz w:val="36"/>
                <w:szCs w:val="36"/>
              </w:rPr>
              <w:br w:type="textWrapping"/>
            </w:r>
            <w:r>
              <w:rPr>
                <w:rFonts w:ascii="宋体" w:hAnsi="宋体" w:cs="宋体"/>
                <w:color w:val="000000"/>
                <w:kern w:val="0"/>
                <w:sz w:val="36"/>
                <w:szCs w:val="36"/>
              </w:rPr>
              <w:t>(201</w:t>
            </w:r>
            <w:r>
              <w:rPr>
                <w:rFonts w:hint="eastAsia" w:ascii="宋体" w:hAnsi="宋体" w:cs="宋体"/>
                <w:color w:val="000000"/>
                <w:kern w:val="0"/>
                <w:sz w:val="36"/>
                <w:szCs w:val="36"/>
                <w:lang w:val="en-US" w:eastAsia="zh-CN"/>
              </w:rPr>
              <w:t>9</w:t>
            </w:r>
            <w:r>
              <w:rPr>
                <w:rFonts w:ascii="宋体" w:hAnsi="宋体" w:cs="宋体"/>
                <w:color w:val="000000"/>
                <w:kern w:val="0"/>
                <w:sz w:val="36"/>
                <w:szCs w:val="36"/>
              </w:rPr>
              <w:t xml:space="preserve"> </w:t>
            </w:r>
            <w:r>
              <w:rPr>
                <w:rFonts w:hint="eastAsia" w:ascii="宋体" w:hAnsi="宋体" w:cs="宋体"/>
                <w:color w:val="000000"/>
                <w:kern w:val="0"/>
                <w:sz w:val="36"/>
                <w:szCs w:val="36"/>
              </w:rPr>
              <w:t>年度</w:t>
            </w:r>
            <w:r>
              <w:rPr>
                <w:rFonts w:ascii="宋体" w:hAnsi="宋体" w:cs="宋体"/>
                <w:color w:val="000000"/>
                <w:kern w:val="0"/>
                <w:sz w:val="36"/>
                <w:szCs w:val="36"/>
              </w:rPr>
              <w:t>)</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环境保护农村场镇污染治理</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桃花镇人民政府</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预算执行情况</w:t>
            </w:r>
            <w:r>
              <w:rPr>
                <w:rFonts w:ascii="宋体" w:hAnsi="宋体" w:cs="宋体"/>
                <w:color w:val="000000"/>
                <w:kern w:val="0"/>
                <w:sz w:val="24"/>
              </w:rPr>
              <w:t>(</w:t>
            </w:r>
            <w:r>
              <w:rPr>
                <w:rFonts w:hint="eastAsia" w:ascii="宋体" w:hAnsi="宋体" w:cs="宋体"/>
                <w:color w:val="000000"/>
                <w:kern w:val="0"/>
                <w:sz w:val="24"/>
              </w:rPr>
              <w:t>万元</w:t>
            </w:r>
            <w:r>
              <w:rPr>
                <w:rFonts w:ascii="宋体" w:hAnsi="宋体" w:cs="宋体"/>
                <w:color w:val="000000"/>
                <w:kern w:val="0"/>
                <w:sz w:val="24"/>
              </w:rPr>
              <w:t>)</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预算数</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eastAsia="宋体" w:cs="宋体"/>
                <w:color w:val="000000"/>
                <w:sz w:val="24"/>
                <w:lang w:val="en-US" w:eastAsia="zh-CN"/>
              </w:rPr>
            </w:pPr>
            <w:r>
              <w:rPr>
                <w:rFonts w:hint="eastAsia" w:ascii="宋体" w:cs="宋体"/>
                <w:color w:val="000000"/>
                <w:sz w:val="24"/>
                <w:lang w:val="en-US" w:eastAsia="zh-CN"/>
              </w:rPr>
              <w:t>56.56</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执行数</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eastAsia="宋体" w:cs="宋体"/>
                <w:color w:val="000000"/>
                <w:sz w:val="24"/>
                <w:lang w:val="en-US" w:eastAsia="zh-CN"/>
              </w:rPr>
            </w:pPr>
            <w:r>
              <w:rPr>
                <w:rFonts w:hint="eastAsia" w:ascii="宋体" w:cs="宋体"/>
                <w:color w:val="000000"/>
                <w:sz w:val="24"/>
                <w:lang w:val="en-US" w:eastAsia="zh-CN"/>
              </w:rPr>
              <w:t>56.56</w:t>
            </w:r>
          </w:p>
        </w:tc>
      </w:tr>
      <w:tr>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eastAsia="宋体" w:cs="宋体"/>
                <w:color w:val="000000"/>
                <w:sz w:val="24"/>
                <w:lang w:val="en-US" w:eastAsia="zh-CN"/>
              </w:rPr>
            </w:pPr>
            <w:r>
              <w:rPr>
                <w:rFonts w:hint="eastAsia" w:ascii="宋体" w:cs="宋体"/>
                <w:color w:val="000000"/>
                <w:sz w:val="24"/>
                <w:lang w:val="en-US" w:eastAsia="zh-CN"/>
              </w:rPr>
              <w:t>56.56</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eastAsia="宋体" w:cs="宋体"/>
                <w:color w:val="000000"/>
                <w:sz w:val="24"/>
                <w:lang w:val="en-US" w:eastAsia="zh-CN"/>
              </w:rPr>
            </w:pPr>
            <w:r>
              <w:rPr>
                <w:rFonts w:hint="eastAsia" w:ascii="宋体" w:cs="宋体"/>
                <w:color w:val="000000"/>
                <w:sz w:val="24"/>
                <w:lang w:val="en-US" w:eastAsia="zh-CN"/>
              </w:rPr>
              <w:t>56.56</w:t>
            </w:r>
          </w:p>
        </w:tc>
      </w:tr>
      <w:tr>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cs="宋体"/>
                <w:color w:val="000000"/>
                <w:kern w:val="0"/>
                <w:sz w:val="24"/>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jc w:val="center"/>
              <w:rPr>
                <w:rFonts w:ascii="宋体" w:cs="宋体"/>
                <w:color w:val="000000"/>
                <w:sz w:val="24"/>
              </w:rPr>
            </w:pPr>
            <w:r>
              <w:rPr>
                <w:rFonts w:ascii="宋体" w:cs="宋体"/>
                <w:color w:val="000000"/>
                <w:sz w:val="24"/>
              </w:rPr>
              <w:t>0</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实际完成目标</w:t>
            </w:r>
          </w:p>
        </w:tc>
      </w:tr>
      <w:tr>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解决桃花镇场</w:t>
            </w:r>
            <w:r>
              <w:rPr>
                <w:rFonts w:hint="eastAsia" w:ascii="宋体" w:cs="宋体"/>
                <w:color w:val="000000"/>
                <w:sz w:val="24"/>
                <w:lang w:eastAsia="zh-CN"/>
              </w:rPr>
              <w:t>和和村社</w:t>
            </w:r>
            <w:r>
              <w:rPr>
                <w:rFonts w:hint="eastAsia" w:ascii="宋体" w:cs="宋体"/>
                <w:color w:val="000000"/>
                <w:sz w:val="24"/>
              </w:rPr>
              <w:t>污染</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已基本解决桃花镇场镇</w:t>
            </w:r>
            <w:r>
              <w:rPr>
                <w:rFonts w:hint="eastAsia" w:ascii="宋体" w:cs="宋体"/>
                <w:color w:val="000000"/>
                <w:sz w:val="24"/>
                <w:lang w:eastAsia="zh-CN"/>
              </w:rPr>
              <w:t>和各村社</w:t>
            </w:r>
            <w:r>
              <w:rPr>
                <w:rFonts w:hint="eastAsia" w:ascii="宋体" w:cs="宋体"/>
                <w:color w:val="000000"/>
                <w:sz w:val="24"/>
              </w:rPr>
              <w:t>污染</w:t>
            </w:r>
          </w:p>
        </w:tc>
      </w:tr>
      <w:tr>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r>
      <w:tr>
        <w:tblPrEx>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项目决策</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科学决策</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必要性</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项目符合上级资金管理要求</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按上级文件要求落实到位</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绩效目标</w:t>
            </w:r>
            <w:r>
              <w:rPr>
                <w:rFonts w:ascii="宋体" w:cs="宋体"/>
                <w:color w:val="000000"/>
                <w:sz w:val="24"/>
              </w:rPr>
              <w:t xml:space="preserve"> </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可行性</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经实核查，规划，该项目是可行的</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已按规划该项目实施到位</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项目管理</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资金管理</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资金分配，使用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资金分配使用科学合理、规范有序</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已达到预期指标</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kern w:val="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项目执行</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执行规范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管理制度健全，管理过程科学规范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已执行落实</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项目绩效</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项目完成</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数量、质量、时效、成本</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按上级文件要求落实到位</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已按上级要求和资金要求按质、按量完成了该项目</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项目效益</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经济、社会、使用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改善场镇污染</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该项目完成、基本解决了污染情况</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kern w:val="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r>
      <w:tr>
        <w:tblPrEx>
          <w:tblCellMar>
            <w:top w:w="0" w:type="dxa"/>
            <w:left w:w="0" w:type="dxa"/>
            <w:bottom w:w="0" w:type="dxa"/>
            <w:right w:w="0" w:type="dxa"/>
          </w:tblCellMar>
        </w:tblPrEx>
        <w:trPr>
          <w:trHeight w:val="105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cs="宋体"/>
                <w:color w:val="000000"/>
                <w:sz w:val="24"/>
                <w:lang w:eastAsia="zh-CN"/>
              </w:rPr>
            </w:pPr>
            <w:r>
              <w:rPr>
                <w:rFonts w:hint="eastAsia" w:ascii="宋体" w:cs="宋体"/>
                <w:color w:val="000000"/>
                <w:sz w:val="24"/>
              </w:rPr>
              <w:t>该项目实施后，污染有所减轻，得到人民</w:t>
            </w:r>
            <w:r>
              <w:rPr>
                <w:rFonts w:hint="eastAsia" w:ascii="宋体" w:cs="宋体"/>
                <w:color w:val="000000"/>
                <w:sz w:val="24"/>
                <w:lang w:eastAsia="zh-CN"/>
              </w:rPr>
              <w:t>群众</w:t>
            </w:r>
          </w:p>
          <w:p>
            <w:pPr>
              <w:widowControl/>
              <w:jc w:val="center"/>
              <w:textAlignment w:val="center"/>
              <w:rPr>
                <w:rFonts w:ascii="宋体" w:cs="宋体"/>
                <w:color w:val="000000"/>
                <w:sz w:val="24"/>
              </w:rPr>
            </w:pPr>
            <w:bookmarkStart w:id="129" w:name="_GoBack"/>
            <w:bookmarkEnd w:id="129"/>
            <w:r>
              <w:rPr>
                <w:rFonts w:hint="eastAsia" w:ascii="宋体" w:cs="宋体"/>
                <w:color w:val="000000"/>
                <w:sz w:val="24"/>
              </w:rPr>
              <w:t>的认可</w:t>
            </w:r>
          </w:p>
        </w:tc>
      </w:tr>
      <w:tr>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3"/>
              <w:widowControl/>
              <w:ind w:left="0" w:leftChars="0" w:firstLine="0" w:firstLineChars="0"/>
              <w:textAlignment w:val="center"/>
              <w:rPr>
                <w:rFonts w:ascii="宋体" w:cs="宋体"/>
                <w:color w:val="000000"/>
                <w:sz w:val="36"/>
                <w:szCs w:val="36"/>
              </w:rPr>
            </w:pPr>
          </w:p>
          <w:p>
            <w:pPr>
              <w:pStyle w:val="23"/>
              <w:widowControl/>
              <w:ind w:left="0" w:leftChars="0" w:firstLine="0" w:firstLineChars="0"/>
              <w:textAlignment w:val="center"/>
              <w:rPr>
                <w:rFonts w:ascii="宋体" w:cs="宋体"/>
                <w:color w:val="000000"/>
                <w:sz w:val="36"/>
                <w:szCs w:val="36"/>
              </w:rPr>
            </w:pPr>
          </w:p>
          <w:p>
            <w:pPr>
              <w:pStyle w:val="23"/>
              <w:widowControl/>
              <w:ind w:left="0" w:leftChars="0" w:firstLine="0" w:firstLineChars="0"/>
              <w:textAlignment w:val="center"/>
              <w:rPr>
                <w:rFonts w:ascii="宋体" w:cs="宋体"/>
                <w:color w:val="000000"/>
                <w:sz w:val="36"/>
                <w:szCs w:val="36"/>
              </w:rPr>
            </w:pPr>
          </w:p>
          <w:p>
            <w:pPr>
              <w:pStyle w:val="23"/>
              <w:widowControl/>
              <w:ind w:left="0" w:leftChars="0" w:firstLine="0" w:firstLineChars="0"/>
              <w:textAlignment w:val="center"/>
              <w:rPr>
                <w:rFonts w:ascii="宋体" w:cs="宋体"/>
                <w:color w:val="000000"/>
                <w:sz w:val="36"/>
                <w:szCs w:val="36"/>
              </w:rPr>
            </w:pPr>
          </w:p>
          <w:p>
            <w:pPr>
              <w:pStyle w:val="23"/>
              <w:widowControl/>
              <w:ind w:left="0" w:leftChars="0" w:firstLine="0" w:firstLineChars="0"/>
              <w:textAlignment w:val="center"/>
              <w:rPr>
                <w:rFonts w:ascii="宋体" w:cs="宋体"/>
                <w:color w:val="000000"/>
                <w:sz w:val="36"/>
                <w:szCs w:val="36"/>
              </w:rPr>
            </w:pPr>
          </w:p>
          <w:p>
            <w:pPr>
              <w:pStyle w:val="23"/>
              <w:widowControl/>
              <w:ind w:left="0" w:leftChars="0" w:firstLine="0" w:firstLineChars="0"/>
              <w:textAlignment w:val="center"/>
              <w:rPr>
                <w:rFonts w:ascii="宋体" w:cs="宋体"/>
                <w:color w:val="000000"/>
                <w:sz w:val="36"/>
                <w:szCs w:val="36"/>
              </w:rPr>
            </w:pPr>
          </w:p>
          <w:p>
            <w:pPr>
              <w:pStyle w:val="23"/>
              <w:widowControl/>
              <w:ind w:left="0" w:leftChars="0" w:firstLine="0" w:firstLineChars="0"/>
              <w:textAlignment w:val="center"/>
              <w:rPr>
                <w:rFonts w:ascii="宋体" w:cs="宋体"/>
                <w:color w:val="000000"/>
                <w:sz w:val="36"/>
                <w:szCs w:val="36"/>
              </w:rPr>
            </w:pPr>
          </w:p>
        </w:tc>
      </w:tr>
      <w:tr>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3"/>
              <w:widowControl/>
              <w:ind w:left="4173" w:leftChars="1310" w:hanging="1422" w:hangingChars="395"/>
              <w:textAlignment w:val="center"/>
              <w:rPr>
                <w:rFonts w:ascii="宋体" w:cs="宋体"/>
                <w:color w:val="000000"/>
                <w:sz w:val="36"/>
                <w:szCs w:val="36"/>
              </w:rPr>
            </w:pPr>
            <w:r>
              <w:rPr>
                <w:rFonts w:hint="eastAsia" w:ascii="黑体" w:hAnsi="黑体" w:eastAsia="黑体" w:cs="宋体"/>
                <w:bCs/>
                <w:color w:val="000000"/>
                <w:kern w:val="0"/>
                <w:sz w:val="36"/>
                <w:szCs w:val="36"/>
              </w:rPr>
              <w:t>项目支出绩效目标完成情况表</w:t>
            </w:r>
            <w:r>
              <w:rPr>
                <w:rFonts w:ascii="宋体" w:cs="宋体"/>
                <w:b/>
                <w:bCs/>
                <w:color w:val="000000"/>
                <w:kern w:val="0"/>
                <w:sz w:val="36"/>
                <w:szCs w:val="36"/>
              </w:rPr>
              <w:br w:type="textWrapping"/>
            </w:r>
            <w:r>
              <w:rPr>
                <w:rFonts w:ascii="宋体" w:hAnsi="宋体" w:cs="宋体"/>
                <w:color w:val="000000"/>
                <w:kern w:val="0"/>
                <w:sz w:val="36"/>
                <w:szCs w:val="36"/>
              </w:rPr>
              <w:t>(201</w:t>
            </w:r>
            <w:r>
              <w:rPr>
                <w:rFonts w:hint="eastAsia" w:ascii="宋体" w:hAnsi="宋体" w:cs="宋体"/>
                <w:color w:val="000000"/>
                <w:kern w:val="0"/>
                <w:sz w:val="36"/>
                <w:szCs w:val="36"/>
                <w:lang w:val="en-US" w:eastAsia="zh-CN"/>
              </w:rPr>
              <w:t>9</w:t>
            </w:r>
            <w:r>
              <w:rPr>
                <w:rFonts w:hint="eastAsia" w:ascii="宋体" w:hAnsi="宋体" w:cs="宋体"/>
                <w:color w:val="000000"/>
                <w:kern w:val="0"/>
                <w:sz w:val="36"/>
                <w:szCs w:val="36"/>
              </w:rPr>
              <w:t>年度</w:t>
            </w:r>
            <w:r>
              <w:rPr>
                <w:rFonts w:ascii="宋体" w:hAnsi="宋体" w:cs="宋体"/>
                <w:color w:val="000000"/>
                <w:kern w:val="0"/>
                <w:sz w:val="36"/>
                <w:szCs w:val="36"/>
              </w:rPr>
              <w:t>)</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环境设施建设</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桃花镇人民政府</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预算执行情况</w:t>
            </w:r>
            <w:r>
              <w:rPr>
                <w:rFonts w:ascii="宋体" w:hAnsi="宋体" w:cs="宋体"/>
                <w:color w:val="000000"/>
                <w:kern w:val="0"/>
                <w:sz w:val="24"/>
              </w:rPr>
              <w:t>(</w:t>
            </w:r>
            <w:r>
              <w:rPr>
                <w:rFonts w:hint="eastAsia" w:ascii="宋体" w:hAnsi="宋体" w:cs="宋体"/>
                <w:color w:val="000000"/>
                <w:kern w:val="0"/>
                <w:sz w:val="24"/>
              </w:rPr>
              <w:t>万元</w:t>
            </w:r>
            <w:r>
              <w:rPr>
                <w:rFonts w:ascii="宋体" w:hAnsi="宋体" w:cs="宋体"/>
                <w:color w:val="000000"/>
                <w:kern w:val="0"/>
                <w:sz w:val="24"/>
              </w:rPr>
              <w:t>)</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预算数</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eastAsia="宋体" w:cs="宋体"/>
                <w:color w:val="000000"/>
                <w:sz w:val="24"/>
                <w:lang w:val="en-US" w:eastAsia="zh-CN"/>
              </w:rPr>
            </w:pPr>
            <w:r>
              <w:rPr>
                <w:rFonts w:hint="eastAsia" w:ascii="宋体" w:cs="宋体"/>
                <w:color w:val="000000"/>
                <w:sz w:val="24"/>
                <w:lang w:val="en-US" w:eastAsia="zh-CN"/>
              </w:rPr>
              <w:t>44.85</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执行数</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eastAsia="宋体" w:cs="宋体"/>
                <w:color w:val="000000"/>
                <w:sz w:val="24"/>
                <w:lang w:val="en-US" w:eastAsia="zh-CN"/>
              </w:rPr>
            </w:pPr>
            <w:r>
              <w:rPr>
                <w:rFonts w:hint="eastAsia" w:ascii="宋体" w:cs="宋体"/>
                <w:color w:val="000000"/>
                <w:sz w:val="24"/>
                <w:lang w:val="en-US" w:eastAsia="zh-CN"/>
              </w:rPr>
              <w:t>44.85</w:t>
            </w:r>
          </w:p>
        </w:tc>
      </w:tr>
      <w:tr>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eastAsia="宋体" w:cs="宋体"/>
                <w:color w:val="000000"/>
                <w:sz w:val="24"/>
                <w:lang w:val="en-US" w:eastAsia="zh-CN"/>
              </w:rPr>
            </w:pPr>
            <w:r>
              <w:rPr>
                <w:rFonts w:hint="eastAsia" w:ascii="宋体" w:cs="宋体"/>
                <w:color w:val="000000"/>
                <w:sz w:val="24"/>
                <w:lang w:val="en-US" w:eastAsia="zh-CN"/>
              </w:rPr>
              <w:t>44.85</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eastAsia="宋体" w:cs="宋体"/>
                <w:color w:val="000000"/>
                <w:sz w:val="24"/>
                <w:lang w:val="en-US" w:eastAsia="zh-CN"/>
              </w:rPr>
            </w:pPr>
            <w:r>
              <w:rPr>
                <w:rFonts w:hint="eastAsia" w:ascii="宋体" w:cs="宋体"/>
                <w:color w:val="000000"/>
                <w:sz w:val="24"/>
                <w:lang w:val="en-US" w:eastAsia="zh-CN"/>
              </w:rPr>
              <w:t>44.85</w:t>
            </w:r>
          </w:p>
        </w:tc>
      </w:tr>
      <w:tr>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cs="宋体"/>
                <w:color w:val="000000"/>
                <w:kern w:val="0"/>
                <w:sz w:val="24"/>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jc w:val="center"/>
              <w:rPr>
                <w:rFonts w:ascii="宋体" w:cs="宋体"/>
                <w:color w:val="000000"/>
                <w:sz w:val="24"/>
              </w:rPr>
            </w:pPr>
            <w:r>
              <w:rPr>
                <w:rFonts w:ascii="宋体" w:cs="宋体"/>
                <w:color w:val="000000"/>
                <w:sz w:val="24"/>
              </w:rPr>
              <w:t>0</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实际完成目标</w:t>
            </w:r>
          </w:p>
        </w:tc>
      </w:tr>
      <w:tr>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解决场镇</w:t>
            </w:r>
            <w:r>
              <w:rPr>
                <w:rFonts w:hint="eastAsia" w:ascii="宋体" w:cs="宋体"/>
                <w:color w:val="000000"/>
                <w:sz w:val="24"/>
                <w:lang w:eastAsia="zh-CN"/>
              </w:rPr>
              <w:t>和村社</w:t>
            </w:r>
            <w:r>
              <w:rPr>
                <w:rFonts w:hint="eastAsia" w:ascii="宋体" w:cs="宋体"/>
                <w:color w:val="000000"/>
                <w:sz w:val="24"/>
              </w:rPr>
              <w:t>环境设施建设、维修垃圾池等</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已解决桃花镇部分环境设施建设</w:t>
            </w:r>
          </w:p>
        </w:tc>
      </w:tr>
      <w:tr>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r>
      <w:tr>
        <w:tblPrEx>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项目决策</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科学决策</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必要性</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项目符合上级资金管理要求</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按上级文件要求落实到位</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绩效目标</w:t>
            </w:r>
            <w:r>
              <w:rPr>
                <w:rFonts w:ascii="宋体" w:cs="宋体"/>
                <w:color w:val="000000"/>
                <w:sz w:val="24"/>
              </w:rPr>
              <w:t xml:space="preserve"> </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可行性</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经实核查，规划，该项目是可行的</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已按规划该项目实施到位</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项目管理</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资金管理</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资金分配，使用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资金分配使用科学合理、规范有序</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已达到预期指标</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kern w:val="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项目执行</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执行规范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管理制度健全，管理过程科学规范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已执行落实</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项目绩效</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项目完成</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数量、质量、时效、成本</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按上级文件要求落实到位</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已按上级要求和资金要求按质、按量完成了该项目</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项目效益</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经济、社会、使用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改善场镇环境设施</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已改善部分环境设施</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kern w:val="0"/>
                <w:sz w:val="24"/>
              </w:rPr>
            </w:pP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r>
      <w:tr>
        <w:tblPrEx>
          <w:tblCellMar>
            <w:top w:w="0" w:type="dxa"/>
            <w:left w:w="0" w:type="dxa"/>
            <w:bottom w:w="0" w:type="dxa"/>
            <w:right w:w="0" w:type="dxa"/>
          </w:tblCellMar>
        </w:tblPrEx>
        <w:trPr>
          <w:trHeight w:val="105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环境设施改善后，人民群众对此项目实施表示非常满意</w:t>
            </w:r>
          </w:p>
        </w:tc>
      </w:tr>
    </w:tbl>
    <w:p>
      <w:pPr>
        <w:spacing w:line="580" w:lineRule="exact"/>
        <w:ind w:left="630"/>
        <w:rPr>
          <w:rFonts w:hint="eastAsia" w:ascii="楷体" w:hAnsi="楷体" w:eastAsia="楷体" w:cs="楷体"/>
          <w:sz w:val="32"/>
          <w:szCs w:val="32"/>
        </w:rPr>
      </w:pPr>
      <w:r>
        <w:rPr>
          <w:rFonts w:hint="eastAsia" w:ascii="楷体" w:hAnsi="楷体" w:eastAsia="楷体" w:cs="楷体"/>
          <w:sz w:val="32"/>
          <w:szCs w:val="32"/>
        </w:rPr>
        <w:t>2.部门绩效评价结果</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本部门按要求对2019年部门整体支出绩效评价情况开展自评，《XX部门2019年部门整体支出绩效评价报告》见附件（附件1）。</w:t>
      </w:r>
    </w:p>
    <w:p>
      <w:pPr>
        <w:spacing w:line="580" w:lineRule="exact"/>
        <w:ind w:firstLine="640" w:firstLineChars="200"/>
        <w:rPr>
          <w:rFonts w:ascii="仿宋_GB2312" w:eastAsia="仿宋_GB2312"/>
          <w:b/>
          <w:color w:val="000000"/>
          <w:sz w:val="32"/>
          <w:szCs w:val="32"/>
        </w:rPr>
      </w:pPr>
      <w:r>
        <w:rPr>
          <w:rFonts w:hint="eastAsia" w:ascii="仿宋_GB2312" w:hAnsi="仿宋_GB2312" w:eastAsia="仿宋_GB2312" w:cs="仿宋_GB2312"/>
          <w:sz w:val="32"/>
          <w:szCs w:val="32"/>
        </w:rPr>
        <w:t>本部门自行组织对XXX项目、XXX项目开展了绩效评价，《XXX项目2019年绩效评价报告》见附件（附件2）。（非涉密部门均需公开部门整体支出评价报告，部门自行组织的绩效评价情况根据部门实际公开，若未组织项目绩效评价，则只需说明部门整体支出绩效评价情况）</w:t>
      </w:r>
    </w:p>
    <w:p>
      <w:pPr>
        <w:widowControl/>
        <w:jc w:val="left"/>
        <w:rPr>
          <w:rFonts w:hint="eastAsia" w:ascii="仿宋_GB2312" w:eastAsia="仿宋_GB2312"/>
          <w:b/>
          <w:color w:val="000000"/>
          <w:sz w:val="32"/>
          <w:szCs w:val="32"/>
          <w:lang w:eastAsia="zh-CN"/>
        </w:rPr>
      </w:pPr>
    </w:p>
    <w:p>
      <w:pPr>
        <w:widowControl/>
        <w:jc w:val="left"/>
        <w:rPr>
          <w:rFonts w:hint="eastAsia" w:ascii="仿宋_GB2312" w:eastAsia="仿宋_GB2312"/>
          <w:b/>
          <w:color w:val="000000"/>
          <w:sz w:val="32"/>
          <w:szCs w:val="32"/>
          <w:lang w:eastAsia="zh-CN"/>
        </w:rPr>
      </w:pPr>
    </w:p>
    <w:p>
      <w:pPr>
        <w:numPr>
          <w:ilvl w:val="0"/>
          <w:numId w:val="4"/>
        </w:numPr>
        <w:spacing w:line="600" w:lineRule="exact"/>
        <w:ind w:firstLine="660" w:firstLineChars="150"/>
        <w:jc w:val="center"/>
        <w:outlineLvl w:val="0"/>
        <w:rPr>
          <w:rStyle w:val="24"/>
          <w:rFonts w:ascii="黑体" w:hAnsi="黑体" w:eastAsia="黑体"/>
          <w:b w:val="0"/>
        </w:rPr>
      </w:pPr>
      <w:bookmarkStart w:id="94" w:name="_Toc15377225"/>
      <w:bookmarkStart w:id="95" w:name="_Toc4210"/>
      <w:bookmarkStart w:id="96" w:name="_Toc15396613"/>
      <w:r>
        <w:rPr>
          <w:rFonts w:hint="eastAsia" w:ascii="黑体" w:hAnsi="黑体" w:eastAsia="黑体"/>
          <w:color w:val="000000"/>
          <w:sz w:val="44"/>
          <w:szCs w:val="44"/>
        </w:rPr>
        <w:t>名</w:t>
      </w:r>
      <w:r>
        <w:rPr>
          <w:rStyle w:val="24"/>
          <w:rFonts w:hint="eastAsia" w:ascii="黑体" w:hAnsi="黑体" w:eastAsia="黑体"/>
          <w:b w:val="0"/>
        </w:rPr>
        <w:t>词解释</w:t>
      </w:r>
      <w:bookmarkEnd w:id="94"/>
      <w:bookmarkEnd w:id="95"/>
      <w:bookmarkEnd w:id="96"/>
    </w:p>
    <w:p>
      <w:pPr>
        <w:spacing w:line="600" w:lineRule="exact"/>
        <w:jc w:val="left"/>
        <w:rPr>
          <w:rFonts w:ascii="宋体"/>
          <w:b/>
          <w:color w:val="000000"/>
          <w:sz w:val="44"/>
          <w:szCs w:val="44"/>
        </w:rPr>
      </w:pPr>
    </w:p>
    <w:p>
      <w:pPr>
        <w:pStyle w:val="22"/>
        <w:spacing w:line="56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财政拨款收入：指单位从同级财政部门取得的财政预算资金。</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事业收入：指事业单位开展专业业务活动及辅助活动取得的收入。如…（二级预算单位事业收入情况）等。</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经营收入：指事业单位在专业业务活动及其辅助活动之外开展非独立核算经营活动取得的收入。如…（二级预算单位经营收入情况）等。</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4.</w:t>
      </w:r>
      <w:r>
        <w:rPr>
          <w:rFonts w:hint="eastAsia" w:ascii="仿宋_GB2312" w:eastAsia="仿宋_GB2312"/>
          <w:sz w:val="32"/>
          <w:szCs w:val="32"/>
        </w:rPr>
        <w:t>其他收入：指单位取得的除上述收入以外的各项收入。主要是…（收入类型）等。</w:t>
      </w:r>
      <w:r>
        <w:rPr>
          <w:rFonts w:ascii="仿宋_GB2312" w:eastAsia="仿宋_GB2312"/>
          <w:sz w:val="32"/>
          <w:szCs w:val="32"/>
        </w:rPr>
        <w:t xml:space="preserve"> </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5.</w:t>
      </w:r>
      <w:r>
        <w:rPr>
          <w:rFonts w:hint="eastAsia" w:ascii="仿宋_GB2312" w:eastAsia="仿宋_GB2312"/>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_GB2312" w:eastAsia="仿宋_GB2312"/>
          <w:sz w:val="32"/>
          <w:szCs w:val="32"/>
        </w:rPr>
        <w:t xml:space="preserve"> </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6.</w:t>
      </w:r>
      <w:r>
        <w:rPr>
          <w:rFonts w:hint="eastAsia" w:ascii="仿宋_GB2312" w:eastAsia="仿宋_GB2312"/>
          <w:sz w:val="32"/>
          <w:szCs w:val="32"/>
        </w:rPr>
        <w:t>年初结转和结余：指以前年度尚未完成、结转到本年按有关规定继续使用的资金。</w:t>
      </w:r>
      <w:r>
        <w:rPr>
          <w:rFonts w:ascii="仿宋_GB2312" w:eastAsia="仿宋_GB2312"/>
          <w:sz w:val="32"/>
          <w:szCs w:val="32"/>
        </w:rPr>
        <w:t xml:space="preserve"> </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7.</w:t>
      </w:r>
      <w:r>
        <w:rPr>
          <w:rFonts w:hint="eastAsia" w:ascii="仿宋_GB2312" w:eastAsia="仿宋_GB2312"/>
          <w:sz w:val="32"/>
          <w:szCs w:val="32"/>
        </w:rPr>
        <w:t>结余分配：指事业单位按照事业单位会计制度的规定从非财政补助结余中分配的事业基金和职工福利基金等。</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8</w:t>
      </w:r>
      <w:r>
        <w:rPr>
          <w:rFonts w:hint="eastAsia" w:ascii="仿宋_GB2312" w:eastAsia="仿宋_GB2312"/>
          <w:sz w:val="32"/>
          <w:szCs w:val="32"/>
        </w:rPr>
        <w:t>、年末结转和结余：指单位按有关规定结转到下年或以后年度继续使用的资金。</w:t>
      </w:r>
    </w:p>
    <w:p>
      <w:pPr>
        <w:ind w:firstLine="640" w:firstLineChars="200"/>
        <w:rPr>
          <w:rFonts w:ascii="仿宋_GB2312" w:eastAsia="仿宋_GB2312"/>
          <w:color w:val="000000"/>
          <w:sz w:val="32"/>
          <w:szCs w:val="32"/>
        </w:rPr>
      </w:pPr>
      <w:r>
        <w:rPr>
          <w:rFonts w:ascii="仿宋_GB2312" w:eastAsia="仿宋_GB2312"/>
          <w:color w:val="000000"/>
          <w:sz w:val="32"/>
          <w:szCs w:val="32"/>
        </w:rPr>
        <w:t>9.</w:t>
      </w:r>
      <w:r>
        <w:rPr>
          <w:rFonts w:hint="eastAsia" w:ascii="仿宋_GB2312" w:eastAsia="仿宋_GB2312"/>
          <w:color w:val="000000"/>
          <w:sz w:val="32"/>
          <w:szCs w:val="32"/>
        </w:rPr>
        <w:t>一般公共服务（类）…（款）…（项）：指……。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10.</w:t>
      </w:r>
      <w:r>
        <w:rPr>
          <w:rFonts w:hint="eastAsia" w:ascii="仿宋_GB2312" w:eastAsia="仿宋_GB2312"/>
          <w:color w:val="000000"/>
          <w:sz w:val="32"/>
          <w:szCs w:val="32"/>
        </w:rPr>
        <w:t>外交（类）…（款）…（项）：指……。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11.</w:t>
      </w:r>
      <w:r>
        <w:rPr>
          <w:rFonts w:hint="eastAsia" w:ascii="仿宋_GB2312" w:eastAsia="仿宋_GB2312"/>
          <w:color w:val="000000"/>
          <w:sz w:val="32"/>
          <w:szCs w:val="32"/>
        </w:rPr>
        <w:t>公共安全（类）…（款）…（项）：指……。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12.</w:t>
      </w:r>
      <w:r>
        <w:rPr>
          <w:rFonts w:hint="eastAsia" w:ascii="仿宋_GB2312" w:eastAsia="仿宋_GB2312"/>
          <w:color w:val="000000"/>
          <w:sz w:val="32"/>
          <w:szCs w:val="32"/>
        </w:rPr>
        <w:t>教育（类）…（款）…（项）：指……。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13.</w:t>
      </w:r>
      <w:r>
        <w:rPr>
          <w:rFonts w:hint="eastAsia" w:ascii="仿宋_GB2312" w:eastAsia="仿宋_GB2312"/>
          <w:color w:val="000000"/>
          <w:sz w:val="32"/>
          <w:szCs w:val="32"/>
        </w:rPr>
        <w:t>科学技术（类）…（款）…（项）：指……。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14.</w:t>
      </w:r>
      <w:r>
        <w:rPr>
          <w:rFonts w:hint="eastAsia" w:ascii="仿宋_GB2312" w:eastAsia="仿宋_GB2312"/>
          <w:color w:val="000000"/>
          <w:sz w:val="32"/>
          <w:szCs w:val="32"/>
        </w:rPr>
        <w:t>文化体育与传媒（类）…（款）…（项）：指……。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15.</w:t>
      </w:r>
      <w:r>
        <w:rPr>
          <w:rFonts w:hint="eastAsia" w:ascii="仿宋_GB2312" w:eastAsia="仿宋_GB2312"/>
          <w:color w:val="000000"/>
          <w:sz w:val="32"/>
          <w:szCs w:val="32"/>
        </w:rPr>
        <w:t>社会保障和就业（类）…（款）…（项）：指……。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16.</w:t>
      </w:r>
      <w:r>
        <w:rPr>
          <w:rFonts w:hint="eastAsia" w:ascii="仿宋_GB2312" w:eastAsia="仿宋_GB2312"/>
          <w:color w:val="000000"/>
          <w:sz w:val="32"/>
          <w:szCs w:val="32"/>
        </w:rPr>
        <w:t>医疗卫生与计划生育（类）…（款）…（项）：指……。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17.</w:t>
      </w:r>
      <w:r>
        <w:rPr>
          <w:rFonts w:hint="eastAsia" w:ascii="仿宋_GB2312" w:eastAsia="仿宋_GB2312"/>
          <w:color w:val="000000"/>
          <w:sz w:val="32"/>
          <w:szCs w:val="32"/>
        </w:rPr>
        <w:t>节能环保（类）…（款）…（项）：指……。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18.</w:t>
      </w:r>
      <w:r>
        <w:rPr>
          <w:rFonts w:hint="eastAsia" w:ascii="仿宋_GB2312" w:eastAsia="仿宋_GB2312"/>
          <w:color w:val="000000"/>
          <w:sz w:val="32"/>
          <w:szCs w:val="32"/>
        </w:rPr>
        <w:t>城乡社区（类）…（款）…（项）：指……。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19.</w:t>
      </w:r>
      <w:r>
        <w:rPr>
          <w:rFonts w:hint="eastAsia" w:ascii="仿宋_GB2312" w:eastAsia="仿宋_GB2312"/>
          <w:color w:val="000000"/>
          <w:sz w:val="32"/>
          <w:szCs w:val="32"/>
        </w:rPr>
        <w:t>农林水（类）…（款）…（项）：指……。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20.</w:t>
      </w:r>
      <w:r>
        <w:rPr>
          <w:rFonts w:hint="eastAsia" w:ascii="仿宋_GB2312" w:eastAsia="仿宋_GB2312"/>
          <w:color w:val="000000"/>
          <w:sz w:val="32"/>
          <w:szCs w:val="32"/>
        </w:rPr>
        <w:t>交通运输（类）…（款）…（项）：指……。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21.</w:t>
      </w:r>
      <w:r>
        <w:rPr>
          <w:rFonts w:hint="eastAsia" w:ascii="仿宋_GB2312" w:eastAsia="仿宋_GB2312"/>
          <w:color w:val="000000"/>
          <w:sz w:val="32"/>
          <w:szCs w:val="32"/>
        </w:rPr>
        <w:t>资源勘探信息等（类）…（款）…（项）：指……。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22.</w:t>
      </w:r>
      <w:r>
        <w:rPr>
          <w:rFonts w:hint="eastAsia" w:ascii="仿宋_GB2312" w:eastAsia="仿宋_GB2312"/>
          <w:color w:val="000000"/>
          <w:sz w:val="32"/>
          <w:szCs w:val="32"/>
        </w:rPr>
        <w:t>商业服务业（类）…（款）…（项）：指……。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23.</w:t>
      </w:r>
      <w:r>
        <w:rPr>
          <w:rFonts w:hint="eastAsia" w:ascii="仿宋_GB2312" w:eastAsia="仿宋_GB2312"/>
          <w:color w:val="000000"/>
          <w:sz w:val="32"/>
          <w:szCs w:val="32"/>
        </w:rPr>
        <w:t>金融（类）…（款）…（项）：指……。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24.</w:t>
      </w:r>
      <w:r>
        <w:rPr>
          <w:rFonts w:hint="eastAsia" w:ascii="仿宋_GB2312" w:eastAsia="仿宋_GB2312"/>
          <w:color w:val="000000"/>
          <w:sz w:val="32"/>
          <w:szCs w:val="32"/>
        </w:rPr>
        <w:t>国土海洋气象等（类）…（款）…（项）：指……。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25.</w:t>
      </w:r>
      <w:r>
        <w:rPr>
          <w:rFonts w:hint="eastAsia" w:ascii="仿宋_GB2312" w:eastAsia="仿宋_GB2312"/>
          <w:color w:val="000000"/>
          <w:sz w:val="32"/>
          <w:szCs w:val="32"/>
        </w:rPr>
        <w:t>住房保障（类）…（款）…（项）：指……。</w:t>
      </w:r>
    </w:p>
    <w:p>
      <w:pPr>
        <w:ind w:firstLine="640" w:firstLineChars="200"/>
        <w:rPr>
          <w:rFonts w:ascii="仿宋_GB2312" w:eastAsia="仿宋_GB2312"/>
          <w:color w:val="000000"/>
          <w:sz w:val="32"/>
          <w:szCs w:val="32"/>
        </w:rPr>
      </w:pPr>
      <w:r>
        <w:rPr>
          <w:rFonts w:ascii="仿宋_GB2312" w:eastAsia="仿宋_GB2312"/>
          <w:color w:val="000000"/>
          <w:sz w:val="32"/>
          <w:szCs w:val="32"/>
        </w:rPr>
        <w:t>26.</w:t>
      </w:r>
      <w:r>
        <w:rPr>
          <w:rFonts w:hint="eastAsia" w:ascii="仿宋_GB2312" w:eastAsia="仿宋_GB2312"/>
          <w:color w:val="000000"/>
          <w:sz w:val="32"/>
          <w:szCs w:val="32"/>
        </w:rPr>
        <w:t>粮油物资储备（类）…（款）…（项）：指……。</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w:t>
      </w:r>
    </w:p>
    <w:p>
      <w:pPr>
        <w:spacing w:line="600" w:lineRule="exact"/>
        <w:ind w:firstLine="640"/>
        <w:rPr>
          <w:rFonts w:ascii="仿宋" w:hAnsi="仿宋" w:eastAsia="仿宋"/>
          <w:b/>
          <w:color w:val="000000"/>
          <w:sz w:val="32"/>
          <w:szCs w:val="32"/>
        </w:rPr>
      </w:pPr>
      <w:r>
        <w:rPr>
          <w:rFonts w:hint="eastAsia" w:ascii="仿宋" w:hAnsi="仿宋" w:eastAsia="仿宋"/>
          <w:b/>
          <w:color w:val="000000"/>
          <w:sz w:val="32"/>
          <w:szCs w:val="32"/>
        </w:rPr>
        <w:t>（解释本部门决算报表中全部功能分类科目至项级，请参照《</w:t>
      </w:r>
      <w:r>
        <w:rPr>
          <w:rFonts w:ascii="仿宋" w:hAnsi="仿宋" w:eastAsia="仿宋"/>
          <w:b/>
          <w:color w:val="000000"/>
          <w:sz w:val="32"/>
          <w:szCs w:val="32"/>
        </w:rPr>
        <w:t>201</w:t>
      </w:r>
      <w:r>
        <w:rPr>
          <w:rFonts w:hint="eastAsia" w:ascii="仿宋" w:hAnsi="仿宋" w:eastAsia="仿宋"/>
          <w:b/>
          <w:color w:val="000000"/>
          <w:sz w:val="32"/>
          <w:szCs w:val="32"/>
        </w:rPr>
        <w:t>9年政府收支分类科目》增减内容。）</w:t>
      </w:r>
    </w:p>
    <w:p>
      <w:pPr>
        <w:ind w:firstLine="640" w:firstLineChars="200"/>
        <w:rPr>
          <w:rFonts w:ascii="仿宋_GB2312" w:eastAsia="仿宋_GB2312"/>
          <w:color w:val="000000"/>
          <w:sz w:val="32"/>
          <w:szCs w:val="32"/>
        </w:rPr>
      </w:pPr>
      <w:r>
        <w:rPr>
          <w:rFonts w:ascii="仿宋_GB2312" w:eastAsia="仿宋_GB2312"/>
          <w:color w:val="000000"/>
          <w:sz w:val="32"/>
          <w:szCs w:val="32"/>
        </w:rPr>
        <w:t>27.</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ascii="仿宋_GB2312" w:eastAsia="仿宋_GB2312"/>
          <w:color w:val="000000"/>
          <w:sz w:val="32"/>
          <w:szCs w:val="32"/>
        </w:rPr>
        <w:t>28.</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pPr>
        <w:ind w:firstLine="640" w:firstLineChars="200"/>
        <w:rPr>
          <w:rFonts w:ascii="仿宋_GB2312" w:eastAsia="仿宋_GB2312"/>
          <w:color w:val="000000"/>
          <w:sz w:val="32"/>
          <w:szCs w:val="32"/>
        </w:rPr>
      </w:pPr>
      <w:r>
        <w:rPr>
          <w:rFonts w:ascii="仿宋_GB2312" w:eastAsia="仿宋_GB2312"/>
          <w:color w:val="000000"/>
          <w:sz w:val="32"/>
          <w:szCs w:val="32"/>
        </w:rPr>
        <w:t>29.</w:t>
      </w:r>
      <w:r>
        <w:rPr>
          <w:rFonts w:hint="eastAsia" w:ascii="仿宋_GB2312" w:eastAsia="仿宋_GB2312"/>
          <w:color w:val="000000"/>
          <w:sz w:val="32"/>
          <w:szCs w:val="32"/>
        </w:rPr>
        <w:t>经营支出：指事业单位在专业业务活动及其辅助活动之外开展非独立核算经营活动发生的支出。</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30.</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31.</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32.</w:t>
      </w:r>
      <w:r>
        <w:rPr>
          <w:rFonts w:hint="eastAsia" w:ascii="仿宋_GB2312" w:eastAsia="仿宋_GB2312"/>
          <w:sz w:val="32"/>
          <w:szCs w:val="32"/>
        </w:rPr>
        <w:t>……。</w:t>
      </w:r>
    </w:p>
    <w:p>
      <w:pPr>
        <w:pStyle w:val="22"/>
        <w:spacing w:line="560" w:lineRule="exact"/>
        <w:ind w:firstLine="640" w:firstLineChars="200"/>
        <w:rPr>
          <w:rFonts w:ascii="仿宋_GB2312" w:eastAsia="仿宋_GB2312" w:cs="黑体"/>
          <w:sz w:val="32"/>
          <w:szCs w:val="32"/>
        </w:rPr>
      </w:pPr>
    </w:p>
    <w:p>
      <w:pPr>
        <w:pStyle w:val="22"/>
        <w:spacing w:line="560" w:lineRule="exact"/>
        <w:ind w:firstLine="640" w:firstLineChars="200"/>
        <w:rPr>
          <w:rFonts w:ascii="仿宋_GB2312" w:eastAsia="仿宋_GB2312" w:cs="黑体"/>
          <w:sz w:val="32"/>
          <w:szCs w:val="32"/>
        </w:rPr>
      </w:pPr>
    </w:p>
    <w:p>
      <w:pPr>
        <w:pStyle w:val="22"/>
        <w:spacing w:line="560" w:lineRule="exact"/>
        <w:ind w:firstLine="640" w:firstLineChars="200"/>
        <w:rPr>
          <w:rFonts w:ascii="仿宋_GB2312" w:eastAsia="仿宋_GB2312" w:cs="黑体"/>
          <w:sz w:val="32"/>
          <w:szCs w:val="32"/>
        </w:rPr>
      </w:pPr>
    </w:p>
    <w:p>
      <w:pPr>
        <w:spacing w:line="600" w:lineRule="exact"/>
        <w:jc w:val="both"/>
        <w:outlineLvl w:val="0"/>
        <w:rPr>
          <w:rFonts w:hint="eastAsia" w:ascii="黑体" w:hAnsi="黑体" w:eastAsia="黑体"/>
          <w:color w:val="000000"/>
          <w:sz w:val="44"/>
          <w:szCs w:val="44"/>
        </w:rPr>
      </w:pPr>
      <w:bookmarkStart w:id="97" w:name="_Toc27911"/>
      <w:bookmarkStart w:id="98" w:name="_Toc15396614"/>
      <w:bookmarkStart w:id="99" w:name="_Toc15377226"/>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center"/>
        <w:outlineLvl w:val="0"/>
        <w:rPr>
          <w:rStyle w:val="24"/>
          <w:rFonts w:ascii="黑体" w:hAnsi="黑体" w:eastAsia="黑体"/>
          <w:b w:val="0"/>
        </w:rPr>
      </w:pPr>
      <w:r>
        <w:rPr>
          <w:rFonts w:hint="eastAsia" w:ascii="黑体" w:hAnsi="黑体" w:eastAsia="黑体"/>
          <w:color w:val="000000"/>
          <w:sz w:val="44"/>
          <w:szCs w:val="44"/>
        </w:rPr>
        <w:t>第</w:t>
      </w:r>
      <w:r>
        <w:rPr>
          <w:rStyle w:val="24"/>
          <w:rFonts w:hint="eastAsia" w:ascii="黑体" w:hAnsi="黑体" w:eastAsia="黑体"/>
          <w:b w:val="0"/>
        </w:rPr>
        <w:t>四部分 附件</w:t>
      </w:r>
      <w:bookmarkEnd w:id="97"/>
      <w:bookmarkEnd w:id="98"/>
    </w:p>
    <w:p>
      <w:pPr>
        <w:spacing w:line="600" w:lineRule="exact"/>
        <w:jc w:val="left"/>
        <w:outlineLvl w:val="0"/>
        <w:rPr>
          <w:rFonts w:ascii="方正小标宋简体" w:hAnsi="方正小标宋简体" w:eastAsia="方正小标宋简体" w:cs="方正小标宋简体"/>
          <w:sz w:val="32"/>
          <w:szCs w:val="32"/>
        </w:rPr>
      </w:pPr>
      <w:bookmarkStart w:id="100" w:name="_Toc20443"/>
      <w:r>
        <w:rPr>
          <w:rFonts w:hint="eastAsia" w:ascii="黑体" w:hAnsi="黑体" w:eastAsia="黑体" w:cs="黑体"/>
          <w:sz w:val="32"/>
          <w:szCs w:val="32"/>
        </w:rPr>
        <w:t>附件1</w:t>
      </w:r>
      <w:bookmarkEnd w:id="100"/>
    </w:p>
    <w:p>
      <w:pPr>
        <w:spacing w:line="580" w:lineRule="exact"/>
        <w:jc w:val="center"/>
        <w:rPr>
          <w:rFonts w:ascii="方正小标宋简体" w:hAnsi="方正小标宋简体" w:eastAsia="方正小标宋简体" w:cs="方正小标宋简体"/>
          <w:sz w:val="44"/>
          <w:szCs w:val="44"/>
        </w:rPr>
      </w:pPr>
    </w:p>
    <w:p>
      <w:pPr>
        <w:spacing w:line="600" w:lineRule="exact"/>
        <w:jc w:val="center"/>
        <w:rPr>
          <w:rFonts w:ascii="仿宋_GB2312" w:hAnsi="宋体" w:eastAsia="仿宋_GB2312"/>
          <w:sz w:val="32"/>
          <w:szCs w:val="32"/>
          <w:shd w:val="clear" w:color="auto" w:fill="FFFFFF"/>
        </w:rPr>
      </w:pPr>
      <w:r>
        <w:rPr>
          <w:rFonts w:hint="eastAsia" w:ascii="宋体" w:hAnsi="宋体"/>
          <w:b/>
          <w:sz w:val="44"/>
          <w:szCs w:val="44"/>
          <w:shd w:val="clear" w:color="auto" w:fill="FFFFFF"/>
        </w:rPr>
        <w:t>宣汉县桃花镇</w:t>
      </w:r>
      <w:r>
        <w:rPr>
          <w:rFonts w:hint="eastAsia" w:ascii="方正小标宋简体" w:hAnsi="宋体" w:eastAsia="方正小标宋简体"/>
          <w:color w:val="000000"/>
          <w:kern w:val="0"/>
          <w:sz w:val="40"/>
          <w:szCs w:val="44"/>
          <w:lang w:val="zh-CN"/>
        </w:rPr>
        <w:t>部门</w:t>
      </w:r>
      <w:r>
        <w:rPr>
          <w:rFonts w:ascii="方正小标宋简体" w:hAnsi="宋体" w:eastAsia="方正小标宋简体"/>
          <w:color w:val="000000"/>
          <w:kern w:val="0"/>
          <w:sz w:val="40"/>
          <w:szCs w:val="44"/>
        </w:rPr>
        <w:t>2019年部门</w:t>
      </w:r>
      <w:r>
        <w:rPr>
          <w:rFonts w:hint="eastAsia" w:ascii="方正小标宋简体" w:hAnsi="宋体" w:eastAsia="方正小标宋简体"/>
          <w:color w:val="000000"/>
          <w:kern w:val="0"/>
          <w:sz w:val="40"/>
          <w:szCs w:val="44"/>
          <w:lang w:val="zh-CN"/>
        </w:rPr>
        <w:t>整体支出绩效评价报告</w:t>
      </w:r>
    </w:p>
    <w:p>
      <w:pPr>
        <w:widowControl/>
        <w:adjustRightInd w:val="0"/>
        <w:snapToGrid w:val="0"/>
        <w:spacing w:line="580" w:lineRule="exact"/>
        <w:ind w:firstLine="480" w:firstLineChars="200"/>
        <w:contextualSpacing/>
        <w:jc w:val="left"/>
        <w:rPr>
          <w:rFonts w:ascii="黑体" w:hAnsi="宋体" w:eastAsia="黑体" w:cs="宋体"/>
          <w:color w:val="000000"/>
          <w:kern w:val="0"/>
          <w:sz w:val="24"/>
          <w:szCs w:val="32"/>
          <w:shd w:val="clear" w:color="auto" w:fill="FFFFFF"/>
        </w:rPr>
      </w:pP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lang w:val="zh-CN"/>
        </w:rPr>
      </w:pPr>
      <w:r>
        <w:rPr>
          <w:rFonts w:hint="eastAsia" w:ascii="黑体" w:hAnsi="宋体" w:eastAsia="黑体" w:cs="宋体"/>
          <w:color w:val="000000"/>
          <w:kern w:val="0"/>
          <w:sz w:val="32"/>
          <w:szCs w:val="32"/>
          <w:shd w:val="clear" w:color="auto" w:fill="FFFFFF"/>
        </w:rPr>
        <w:t>一、</w:t>
      </w:r>
      <w:r>
        <w:rPr>
          <w:rFonts w:hint="eastAsia" w:ascii="黑体" w:hAnsi="宋体" w:eastAsia="黑体" w:cs="宋体"/>
          <w:color w:val="000000"/>
          <w:kern w:val="0"/>
          <w:sz w:val="32"/>
          <w:szCs w:val="32"/>
          <w:shd w:val="clear" w:color="auto" w:fill="FFFFFF"/>
          <w:lang w:val="zh-CN"/>
        </w:rPr>
        <w:t>部门（单位）概况</w:t>
      </w:r>
    </w:p>
    <w:p>
      <w:pPr>
        <w:widowControl/>
        <w:adjustRightInd w:val="0"/>
        <w:snapToGrid w:val="0"/>
        <w:spacing w:line="580" w:lineRule="exact"/>
        <w:ind w:firstLine="640" w:firstLineChars="200"/>
        <w:contextualSpacing/>
        <w:jc w:val="left"/>
        <w:rPr>
          <w:rFonts w:hint="eastAsia" w:ascii="楷体" w:hAnsi="楷体" w:eastAsia="楷体" w:cs="楷体"/>
          <w:color w:val="000000"/>
          <w:kern w:val="0"/>
          <w:sz w:val="32"/>
          <w:szCs w:val="32"/>
          <w:shd w:val="clear" w:color="auto" w:fill="FFFFFF"/>
          <w:lang w:val="zh-CN"/>
        </w:rPr>
      </w:pPr>
      <w:r>
        <w:rPr>
          <w:rFonts w:hint="eastAsia" w:ascii="楷体" w:hAnsi="楷体" w:eastAsia="楷体" w:cs="楷体"/>
          <w:color w:val="000000"/>
          <w:kern w:val="0"/>
          <w:sz w:val="32"/>
          <w:szCs w:val="32"/>
          <w:shd w:val="clear" w:color="auto" w:fill="FFFFFF"/>
          <w:lang w:val="zh-CN"/>
        </w:rPr>
        <w:t>（一）机构组成</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仿宋_GB2312" w:eastAsia="仿宋_GB2312" w:cs="仿宋_GB2312"/>
          <w:sz w:val="32"/>
          <w:szCs w:val="32"/>
        </w:rPr>
        <w:t>桃花镇地处宣汉县中部，距县城</w:t>
      </w:r>
      <w:r>
        <w:rPr>
          <w:rFonts w:ascii="仿宋_GB2312" w:hAnsi="仿宋_GB2312" w:eastAsia="仿宋_GB2312" w:cs="仿宋_GB2312"/>
          <w:sz w:val="32"/>
          <w:szCs w:val="32"/>
        </w:rPr>
        <w:t>56</w:t>
      </w:r>
      <w:r>
        <w:rPr>
          <w:rFonts w:hint="eastAsia" w:ascii="仿宋_GB2312" w:hAnsi="仿宋_GB2312" w:eastAsia="仿宋_GB2312" w:cs="仿宋_GB2312"/>
          <w:sz w:val="32"/>
          <w:szCs w:val="32"/>
        </w:rPr>
        <w:t>公里。东接南坝镇，东南与下八镇相邻，西南与黄石乡相交，西与清溪镇接壤，西北与老君乡为邻，北靠峰城镇。全镇总幅员面积</w:t>
      </w:r>
      <w:r>
        <w:rPr>
          <w:rFonts w:ascii="仿宋_GB2312" w:hAnsi="仿宋_GB2312" w:eastAsia="仿宋_GB2312" w:cs="仿宋_GB2312"/>
          <w:sz w:val="32"/>
          <w:szCs w:val="32"/>
        </w:rPr>
        <w:t>61.97</w:t>
      </w:r>
      <w:r>
        <w:rPr>
          <w:rFonts w:hint="eastAsia" w:ascii="仿宋_GB2312" w:hAnsi="仿宋_GB2312" w:eastAsia="仿宋_GB2312" w:cs="仿宋_GB2312"/>
          <w:sz w:val="32"/>
          <w:szCs w:val="32"/>
        </w:rPr>
        <w:t>平方公里、</w:t>
      </w:r>
      <w:r>
        <w:rPr>
          <w:rFonts w:ascii="仿宋_GB2312" w:hAnsi="仿宋_GB2312" w:eastAsia="仿宋_GB2312" w:cs="仿宋_GB2312"/>
          <w:sz w:val="32"/>
          <w:szCs w:val="32"/>
        </w:rPr>
        <w:t>2.3</w:t>
      </w:r>
      <w:r>
        <w:rPr>
          <w:rFonts w:hint="eastAsia" w:ascii="仿宋_GB2312" w:hAnsi="仿宋_GB2312" w:eastAsia="仿宋_GB2312" w:cs="仿宋_GB2312"/>
          <w:sz w:val="32"/>
          <w:szCs w:val="32"/>
        </w:rPr>
        <w:t>万人。辖</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个村（桃花坪、中山、刘家沟、三溪、文凤、鼓石梁、）、</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个社区（莲寨），</w:t>
      </w:r>
      <w:r>
        <w:rPr>
          <w:rFonts w:ascii="仿宋_GB2312" w:hAnsi="仿宋_GB2312" w:eastAsia="仿宋_GB2312" w:cs="仿宋_GB2312"/>
          <w:sz w:val="32"/>
          <w:szCs w:val="32"/>
        </w:rPr>
        <w:t>69</w:t>
      </w:r>
      <w:r>
        <w:rPr>
          <w:rFonts w:hint="eastAsia" w:ascii="仿宋_GB2312" w:hAnsi="仿宋_GB2312" w:eastAsia="仿宋_GB2312" w:cs="仿宋_GB2312"/>
          <w:sz w:val="32"/>
          <w:szCs w:val="32"/>
        </w:rPr>
        <w:t>个村民小组和</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个居民小组。</w:t>
      </w:r>
      <w:r>
        <w:rPr>
          <w:rFonts w:hint="eastAsia" w:ascii="仿宋_GB2312" w:hAnsi="仿宋_GB2312" w:eastAsia="仿宋_GB2312"/>
          <w:sz w:val="32"/>
          <w:szCs w:val="32"/>
        </w:rPr>
        <w:t>平均海拔</w:t>
      </w:r>
      <w:r>
        <w:rPr>
          <w:rFonts w:ascii="仿宋_GB2312" w:hAnsi="仿宋_GB2312" w:eastAsia="仿宋_GB2312"/>
          <w:sz w:val="32"/>
          <w:szCs w:val="32"/>
        </w:rPr>
        <w:t>1010</w:t>
      </w:r>
      <w:r>
        <w:rPr>
          <w:rFonts w:hint="eastAsia" w:ascii="仿宋_GB2312" w:hAnsi="仿宋_GB2312" w:eastAsia="仿宋_GB2312"/>
          <w:sz w:val="32"/>
          <w:szCs w:val="32"/>
        </w:rPr>
        <w:t>米，垂直性气候明显，属典型的贫困高寒山区农业大乡。</w:t>
      </w:r>
    </w:p>
    <w:p>
      <w:pPr>
        <w:numPr>
          <w:ilvl w:val="0"/>
          <w:numId w:val="5"/>
        </w:numPr>
        <w:spacing w:line="579" w:lineRule="exact"/>
        <w:ind w:firstLine="640" w:firstLineChars="200"/>
        <w:rPr>
          <w:rFonts w:hint="eastAsia" w:ascii="楷体" w:hAnsi="楷体" w:eastAsia="楷体" w:cs="楷体"/>
          <w:color w:val="000000"/>
          <w:kern w:val="0"/>
          <w:sz w:val="32"/>
          <w:szCs w:val="32"/>
          <w:shd w:val="clear" w:color="auto" w:fill="FFFFFF"/>
          <w:lang w:val="zh-CN"/>
        </w:rPr>
      </w:pPr>
      <w:r>
        <w:rPr>
          <w:rFonts w:hint="eastAsia" w:ascii="楷体" w:hAnsi="楷体" w:eastAsia="楷体" w:cs="楷体"/>
          <w:color w:val="000000"/>
          <w:kern w:val="0"/>
          <w:sz w:val="32"/>
          <w:szCs w:val="32"/>
          <w:shd w:val="clear" w:color="auto" w:fill="FFFFFF"/>
          <w:lang w:val="zh-CN"/>
        </w:rPr>
        <w:t>机构职能</w:t>
      </w:r>
    </w:p>
    <w:p>
      <w:pPr>
        <w:numPr>
          <w:ilvl w:val="0"/>
          <w:numId w:val="0"/>
        </w:numPr>
        <w:spacing w:line="579" w:lineRule="exact"/>
        <w:ind w:firstLine="640" w:firstLineChars="200"/>
        <w:rPr>
          <w:rFonts w:ascii="仿宋_GB2312" w:hAnsi="仿宋_GB2312" w:eastAsia="仿宋_GB2312"/>
          <w:sz w:val="32"/>
          <w:szCs w:val="32"/>
        </w:rPr>
      </w:pPr>
      <w:r>
        <w:rPr>
          <w:rFonts w:hint="eastAsia" w:ascii="仿宋_GB2312" w:hAnsi="仿宋_GB2312" w:eastAsia="仿宋_GB2312"/>
          <w:sz w:val="32"/>
          <w:szCs w:val="32"/>
        </w:rPr>
        <w:t>（</w:t>
      </w:r>
      <w:r>
        <w:rPr>
          <w:rFonts w:ascii="仿宋_GB2312" w:hAnsi="仿宋_GB2312" w:eastAsia="仿宋_GB2312"/>
          <w:sz w:val="32"/>
          <w:szCs w:val="32"/>
        </w:rPr>
        <w:t>1</w:t>
      </w:r>
      <w:r>
        <w:rPr>
          <w:rFonts w:hint="eastAsia" w:ascii="仿宋_GB2312" w:hAnsi="仿宋_GB2312" w:eastAsia="仿宋_GB2312"/>
          <w:sz w:val="32"/>
          <w:szCs w:val="32"/>
        </w:rPr>
        <w:t>）制定和组织我镇实施经济、科技和社会发展计划，制定资源开发技术改造和产业结构调整方案，组织指导好各业生产，搞好商品流通，协调好本镇与外地区的经济交流与合作，抓好招商引资，人才引进项目开发，不断培育市场体系，组织经济运行，促进经济发展。</w:t>
      </w:r>
    </w:p>
    <w:p>
      <w:pPr>
        <w:spacing w:line="579" w:lineRule="exact"/>
        <w:ind w:firstLine="640" w:firstLineChars="200"/>
        <w:rPr>
          <w:rFonts w:ascii="仿宋_GB2312" w:hAnsi="仿宋_GB2312" w:eastAsia="仿宋_GB2312"/>
          <w:sz w:val="32"/>
          <w:szCs w:val="32"/>
        </w:rPr>
      </w:pPr>
      <w:r>
        <w:rPr>
          <w:rFonts w:hint="eastAsia" w:ascii="仿宋_GB2312" w:hAnsi="仿宋_GB2312" w:eastAsia="仿宋_GB2312"/>
          <w:sz w:val="32"/>
          <w:szCs w:val="32"/>
        </w:rPr>
        <w:t>（</w:t>
      </w:r>
      <w:r>
        <w:rPr>
          <w:rFonts w:ascii="仿宋_GB2312" w:hAnsi="仿宋_GB2312" w:eastAsia="仿宋_GB2312"/>
          <w:sz w:val="32"/>
          <w:szCs w:val="32"/>
        </w:rPr>
        <w:t>2</w:t>
      </w:r>
      <w:r>
        <w:rPr>
          <w:rFonts w:hint="eastAsia" w:ascii="仿宋_GB2312" w:hAnsi="仿宋_GB2312" w:eastAsia="仿宋_GB2312"/>
          <w:sz w:val="32"/>
          <w:szCs w:val="32"/>
        </w:rPr>
        <w:t>）制定并组织实施我镇村镇建设规划，部署重点工程建设，地方道路建设及公共设施，水利设施的管理，负责土地、林木、水等自然资源和生态环境的保护，做好护林防火工作。</w:t>
      </w:r>
      <w:r>
        <w:rPr>
          <w:rFonts w:ascii="仿宋_GB2312" w:hAnsi="仿宋_GB2312" w:eastAsia="仿宋_GB2312"/>
          <w:sz w:val="32"/>
          <w:szCs w:val="32"/>
        </w:rPr>
        <w:br w:type="textWrapping"/>
      </w:r>
      <w:r>
        <w:rPr>
          <w:rFonts w:ascii="仿宋_GB2312" w:hAnsi="仿宋_GB2312" w:eastAsia="仿宋_GB2312"/>
          <w:sz w:val="32"/>
          <w:szCs w:val="32"/>
        </w:rPr>
        <w:t xml:space="preserve">   </w:t>
      </w:r>
      <w:r>
        <w:rPr>
          <w:rFonts w:hint="eastAsia" w:ascii="仿宋_GB2312" w:hAnsi="仿宋_GB2312" w:eastAsia="仿宋_GB2312"/>
          <w:sz w:val="32"/>
          <w:szCs w:val="32"/>
        </w:rPr>
        <w:t>（</w:t>
      </w:r>
      <w:r>
        <w:rPr>
          <w:rFonts w:ascii="仿宋_GB2312" w:hAnsi="仿宋_GB2312" w:eastAsia="仿宋_GB2312"/>
          <w:sz w:val="32"/>
          <w:szCs w:val="32"/>
        </w:rPr>
        <w:t>3</w:t>
      </w:r>
      <w:r>
        <w:rPr>
          <w:rFonts w:hint="eastAsia" w:ascii="仿宋_GB2312" w:hAnsi="仿宋_GB2312" w:eastAsia="仿宋_GB2312"/>
          <w:sz w:val="32"/>
          <w:szCs w:val="32"/>
        </w:rPr>
        <w:t>）负责我镇行政区域内的民政、计划生育、文化教育、卫生、体育等社会公益事业的综合性工作，维护一切经济单位和个人的正当经济权益，取缔非法经济活动，调解和处理民事纠纷，打击刑事犯罪维护社会稳定。</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仿宋_GB2312" w:eastAsia="仿宋_GB2312"/>
          <w:sz w:val="32"/>
          <w:szCs w:val="32"/>
        </w:rPr>
        <w:t>（</w:t>
      </w:r>
      <w:r>
        <w:rPr>
          <w:rFonts w:ascii="仿宋_GB2312" w:hAnsi="仿宋_GB2312" w:eastAsia="仿宋_GB2312"/>
          <w:sz w:val="32"/>
          <w:szCs w:val="32"/>
        </w:rPr>
        <w:t>4</w:t>
      </w:r>
      <w:r>
        <w:rPr>
          <w:rFonts w:hint="eastAsia" w:ascii="仿宋_GB2312" w:hAnsi="仿宋_GB2312" w:eastAsia="仿宋_GB2312"/>
          <w:sz w:val="32"/>
          <w:szCs w:val="32"/>
        </w:rPr>
        <w:t>）按计划组织我镇本级财政收入，完成国家财政计划，不断培植税源，管好财政资金，增强财政实力。</w:t>
      </w:r>
      <w:r>
        <w:rPr>
          <w:rFonts w:ascii="仿宋_GB2312" w:hAnsi="仿宋_GB2312" w:eastAsia="仿宋_GB2312"/>
          <w:sz w:val="32"/>
          <w:szCs w:val="32"/>
        </w:rPr>
        <w:br w:type="textWrapping"/>
      </w:r>
      <w:r>
        <w:rPr>
          <w:rFonts w:ascii="仿宋_GB2312" w:hAnsi="仿宋_GB2312" w:eastAsia="仿宋_GB2312"/>
          <w:sz w:val="32"/>
          <w:szCs w:val="32"/>
        </w:rPr>
        <w:t xml:space="preserve">    </w:t>
      </w:r>
      <w:r>
        <w:rPr>
          <w:rFonts w:hint="eastAsia" w:ascii="仿宋_GB2312" w:hAnsi="仿宋_GB2312" w:eastAsia="仿宋_GB2312"/>
          <w:sz w:val="32"/>
          <w:szCs w:val="32"/>
        </w:rPr>
        <w:t>（</w:t>
      </w:r>
      <w:r>
        <w:rPr>
          <w:rFonts w:ascii="仿宋_GB2312" w:hAnsi="仿宋_GB2312" w:eastAsia="仿宋_GB2312"/>
          <w:sz w:val="32"/>
          <w:szCs w:val="32"/>
        </w:rPr>
        <w:t>5</w:t>
      </w:r>
      <w:r>
        <w:rPr>
          <w:rFonts w:hint="eastAsia" w:ascii="仿宋_GB2312" w:hAnsi="仿宋_GB2312" w:eastAsia="仿宋_GB2312"/>
          <w:sz w:val="32"/>
          <w:szCs w:val="32"/>
        </w:rPr>
        <w:t>）抓好我镇精神文明建设，丰富群众文化生活，提倡移风易俗，反对封建迷信，破除陈规陋习，树立社会主义新风尚。</w:t>
      </w:r>
      <w:r>
        <w:rPr>
          <w:rFonts w:ascii="仿宋_GB2312" w:hAnsi="仿宋_GB2312" w:eastAsia="仿宋_GB2312"/>
          <w:sz w:val="32"/>
          <w:szCs w:val="32"/>
        </w:rPr>
        <w:br w:type="textWrapping"/>
      </w:r>
      <w:r>
        <w:rPr>
          <w:rFonts w:ascii="仿宋_GB2312" w:hAnsi="仿宋_GB2312" w:eastAsia="仿宋_GB2312"/>
          <w:sz w:val="32"/>
          <w:szCs w:val="32"/>
        </w:rPr>
        <w:t xml:space="preserve">    </w:t>
      </w:r>
      <w:r>
        <w:rPr>
          <w:rFonts w:hint="eastAsia" w:ascii="仿宋_GB2312" w:hAnsi="仿宋_GB2312" w:eastAsia="仿宋_GB2312"/>
          <w:sz w:val="32"/>
          <w:szCs w:val="32"/>
        </w:rPr>
        <w:t>（</w:t>
      </w:r>
      <w:r>
        <w:rPr>
          <w:rFonts w:ascii="仿宋_GB2312" w:hAnsi="仿宋_GB2312" w:eastAsia="仿宋_GB2312"/>
          <w:sz w:val="32"/>
          <w:szCs w:val="32"/>
        </w:rPr>
        <w:t>6</w:t>
      </w:r>
      <w:r>
        <w:rPr>
          <w:rFonts w:hint="eastAsia" w:ascii="仿宋_GB2312" w:hAnsi="仿宋_GB2312" w:eastAsia="仿宋_GB2312"/>
          <w:sz w:val="32"/>
          <w:szCs w:val="32"/>
        </w:rPr>
        <w:t>）完成上级政府交办的其它事项。</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（三）人员概况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仿宋_GB2312" w:eastAsia="仿宋_GB2312"/>
          <w:sz w:val="32"/>
          <w:szCs w:val="32"/>
        </w:rPr>
        <w:t>我镇在职人员合计</w:t>
      </w:r>
      <w:r>
        <w:rPr>
          <w:rFonts w:ascii="仿宋_GB2312" w:hAnsi="仿宋_GB2312" w:eastAsia="仿宋_GB2312"/>
          <w:sz w:val="32"/>
          <w:szCs w:val="32"/>
        </w:rPr>
        <w:t>28</w:t>
      </w:r>
      <w:r>
        <w:rPr>
          <w:rFonts w:hint="eastAsia" w:ascii="仿宋_GB2312" w:hAnsi="仿宋_GB2312" w:eastAsia="仿宋_GB2312"/>
          <w:sz w:val="32"/>
          <w:szCs w:val="32"/>
        </w:rPr>
        <w:t>人。其中行政人员</w:t>
      </w:r>
      <w:r>
        <w:rPr>
          <w:rFonts w:ascii="仿宋_GB2312" w:hAnsi="仿宋_GB2312" w:eastAsia="仿宋_GB2312"/>
          <w:sz w:val="32"/>
          <w:szCs w:val="32"/>
        </w:rPr>
        <w:t>13</w:t>
      </w:r>
      <w:r>
        <w:rPr>
          <w:rFonts w:hint="eastAsia" w:ascii="仿宋_GB2312" w:hAnsi="仿宋_GB2312" w:eastAsia="仿宋_GB2312"/>
          <w:sz w:val="32"/>
          <w:szCs w:val="32"/>
        </w:rPr>
        <w:t>人（含工勤人员</w:t>
      </w:r>
      <w:r>
        <w:rPr>
          <w:rFonts w:ascii="仿宋_GB2312" w:hAnsi="仿宋_GB2312" w:eastAsia="仿宋_GB2312"/>
          <w:sz w:val="32"/>
          <w:szCs w:val="32"/>
        </w:rPr>
        <w:t>2</w:t>
      </w:r>
      <w:r>
        <w:rPr>
          <w:rFonts w:hint="eastAsia" w:ascii="仿宋_GB2312" w:hAnsi="仿宋_GB2312" w:eastAsia="仿宋_GB2312"/>
          <w:sz w:val="32"/>
          <w:szCs w:val="32"/>
        </w:rPr>
        <w:t>人），事业人员</w:t>
      </w:r>
      <w:r>
        <w:rPr>
          <w:rFonts w:ascii="仿宋_GB2312" w:hAnsi="仿宋_GB2312" w:eastAsia="仿宋_GB2312"/>
          <w:sz w:val="32"/>
          <w:szCs w:val="32"/>
        </w:rPr>
        <w:t>15</w:t>
      </w:r>
      <w:r>
        <w:rPr>
          <w:rFonts w:hint="eastAsia" w:ascii="仿宋_GB2312" w:hAnsi="仿宋_GB2312" w:eastAsia="仿宋_GB2312"/>
          <w:sz w:val="32"/>
          <w:szCs w:val="32"/>
        </w:rPr>
        <w:t>人（其中参公管理人员</w:t>
      </w:r>
      <w:r>
        <w:rPr>
          <w:rFonts w:ascii="仿宋_GB2312" w:hAnsi="仿宋_GB2312" w:eastAsia="仿宋_GB2312"/>
          <w:sz w:val="32"/>
          <w:szCs w:val="32"/>
        </w:rPr>
        <w:t>4</w:t>
      </w:r>
      <w:r>
        <w:rPr>
          <w:rFonts w:hint="eastAsia" w:ascii="仿宋_GB2312" w:hAnsi="仿宋_GB2312" w:eastAsia="仿宋_GB2312"/>
          <w:sz w:val="32"/>
          <w:szCs w:val="32"/>
        </w:rPr>
        <w:t>人，财政补助人员</w:t>
      </w:r>
      <w:r>
        <w:rPr>
          <w:rFonts w:ascii="仿宋_GB2312" w:hAnsi="仿宋_GB2312" w:eastAsia="仿宋_GB2312"/>
          <w:sz w:val="32"/>
          <w:szCs w:val="32"/>
        </w:rPr>
        <w:t>11</w:t>
      </w:r>
      <w:r>
        <w:rPr>
          <w:rFonts w:hint="eastAsia" w:ascii="仿宋_GB2312" w:hAnsi="仿宋_GB2312" w:eastAsia="仿宋_GB2312"/>
          <w:sz w:val="32"/>
          <w:szCs w:val="32"/>
        </w:rPr>
        <w:t>人）。</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二、部门财政资金收支情况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（一）部门财政资金收入情况。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（二）部门财政资金支出情况。</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三、部门整体预算绩效管理情况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（一）部门预算管理。</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包括部门绩效目标制定、目标实现、预算编制准确、支出控制、预算动态调整、执行进度、预算完成情况和违规记录等情况。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（二）结果应用情况。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包括绩效自评公开、评价结果整改和应用结果反馈等情况。</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四、评价结论及建议</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（一）评价结论。</w:t>
      </w:r>
    </w:p>
    <w:p>
      <w:pPr>
        <w:widowControl/>
        <w:adjustRightInd w:val="0"/>
        <w:snapToGrid w:val="0"/>
        <w:spacing w:line="580" w:lineRule="exact"/>
        <w:ind w:firstLine="960" w:firstLineChars="3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仿宋_GB2312" w:eastAsia="仿宋_GB2312"/>
          <w:sz w:val="32"/>
          <w:szCs w:val="32"/>
        </w:rPr>
        <w:t>我镇在预决算编制及执行过程中，严格按照相关规定和要求，积极完成预决算的编制及执行。</w:t>
      </w:r>
    </w:p>
    <w:p>
      <w:pPr>
        <w:spacing w:line="579" w:lineRule="exact"/>
        <w:ind w:firstLine="640" w:firstLineChars="200"/>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（二）存在问题。</w:t>
      </w:r>
    </w:p>
    <w:p>
      <w:pPr>
        <w:spacing w:line="579" w:lineRule="exact"/>
        <w:ind w:firstLine="960" w:firstLineChars="300"/>
        <w:rPr>
          <w:rFonts w:ascii="仿宋_GB2312" w:hAnsi="宋体" w:eastAsia="仿宋_GB2312" w:cs="宋体"/>
          <w:color w:val="000000"/>
          <w:kern w:val="0"/>
          <w:sz w:val="32"/>
          <w:szCs w:val="32"/>
          <w:shd w:val="clear" w:color="auto" w:fill="FFFFFF"/>
          <w:lang w:val="zh-CN"/>
        </w:rPr>
      </w:pPr>
      <w:r>
        <w:rPr>
          <w:rFonts w:hint="eastAsia" w:ascii="仿宋_GB2312" w:hAnsi="仿宋_GB2312" w:eastAsia="仿宋_GB2312"/>
          <w:sz w:val="32"/>
          <w:szCs w:val="32"/>
        </w:rPr>
        <w:t>在预算执行管理工作中，前期执行进度较快。</w:t>
      </w:r>
    </w:p>
    <w:p>
      <w:pPr>
        <w:numPr>
          <w:ilvl w:val="0"/>
          <w:numId w:val="5"/>
        </w:numPr>
        <w:spacing w:line="579" w:lineRule="exact"/>
        <w:ind w:left="0" w:leftChars="0" w:firstLine="640" w:firstLineChars="200"/>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改进建议。</w:t>
      </w:r>
    </w:p>
    <w:p>
      <w:pPr>
        <w:numPr>
          <w:ilvl w:val="0"/>
          <w:numId w:val="0"/>
        </w:numPr>
        <w:spacing w:line="579" w:lineRule="exact"/>
        <w:ind w:leftChars="200" w:firstLine="640" w:firstLineChars="200"/>
        <w:rPr>
          <w:rFonts w:ascii="仿宋_GB2312" w:hAnsi="仿宋_GB2312" w:eastAsia="仿宋_GB2312"/>
          <w:sz w:val="32"/>
          <w:szCs w:val="32"/>
        </w:rPr>
      </w:pPr>
      <w:r>
        <w:rPr>
          <w:rFonts w:hint="eastAsia" w:ascii="仿宋_GB2312" w:hAnsi="仿宋_GB2312" w:eastAsia="仿宋_GB2312"/>
          <w:sz w:val="32"/>
          <w:szCs w:val="32"/>
        </w:rPr>
        <w:t>在今后的预算执行管理工作中，我镇将合理安排资金的使用，让执行进度稳中有序。</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p>
    <w:p>
      <w:pPr>
        <w:spacing w:line="580" w:lineRule="exact"/>
        <w:ind w:firstLine="640" w:firstLineChars="200"/>
        <w:rPr>
          <w:rFonts w:ascii="仿宋_GB2312" w:hAnsi="仿宋_GB2312" w:eastAsia="仿宋_GB2312" w:cs="仿宋_GB2312"/>
          <w:sz w:val="32"/>
          <w:szCs w:val="32"/>
        </w:rPr>
      </w:pPr>
    </w:p>
    <w:p>
      <w:pPr>
        <w:spacing w:line="579" w:lineRule="exact"/>
        <w:ind w:firstLine="4960" w:firstLineChars="1550"/>
        <w:rPr>
          <w:rFonts w:ascii="仿宋_GB2312" w:hAnsi="仿宋_GB2312" w:eastAsia="仿宋_GB2312"/>
          <w:sz w:val="32"/>
        </w:rPr>
      </w:pPr>
      <w:r>
        <w:rPr>
          <w:rFonts w:hint="eastAsia" w:ascii="仿宋_GB2312" w:hAnsi="仿宋_GB2312" w:eastAsia="仿宋_GB2312"/>
          <w:sz w:val="32"/>
        </w:rPr>
        <w:t>桃花镇人民政府</w:t>
      </w:r>
    </w:p>
    <w:p>
      <w:pPr>
        <w:spacing w:line="579" w:lineRule="exact"/>
        <w:ind w:firstLine="4800" w:firstLineChars="1500"/>
        <w:rPr>
          <w:rFonts w:ascii="仿宋_GB2312" w:hAnsi="仿宋_GB2312" w:eastAsia="仿宋_GB2312"/>
          <w:sz w:val="32"/>
        </w:rPr>
      </w:pPr>
      <w:r>
        <w:rPr>
          <w:rFonts w:ascii="仿宋_GB2312" w:hAnsi="仿宋_GB2312" w:eastAsia="仿宋_GB2312"/>
          <w:sz w:val="32"/>
        </w:rPr>
        <w:t>20</w:t>
      </w:r>
      <w:r>
        <w:rPr>
          <w:rFonts w:hint="eastAsia" w:ascii="仿宋_GB2312" w:hAnsi="仿宋_GB2312" w:eastAsia="仿宋_GB2312"/>
          <w:sz w:val="32"/>
          <w:lang w:val="en-US" w:eastAsia="zh-CN"/>
        </w:rPr>
        <w:t>20</w:t>
      </w:r>
      <w:r>
        <w:rPr>
          <w:rFonts w:hint="eastAsia" w:ascii="仿宋_GB2312" w:hAnsi="仿宋_GB2312" w:eastAsia="仿宋_GB2312"/>
          <w:sz w:val="32"/>
        </w:rPr>
        <w:t>年</w:t>
      </w:r>
      <w:r>
        <w:rPr>
          <w:rFonts w:hint="eastAsia" w:ascii="仿宋_GB2312" w:hAnsi="仿宋_GB2312" w:eastAsia="仿宋_GB2312"/>
          <w:sz w:val="32"/>
          <w:lang w:val="en-US" w:eastAsia="zh-CN"/>
        </w:rPr>
        <w:t>11</w:t>
      </w:r>
      <w:r>
        <w:rPr>
          <w:rFonts w:hint="eastAsia" w:ascii="仿宋_GB2312" w:hAnsi="仿宋_GB2312" w:eastAsia="仿宋_GB2312"/>
          <w:sz w:val="32"/>
        </w:rPr>
        <w:t>月</w:t>
      </w:r>
      <w:r>
        <w:rPr>
          <w:rFonts w:hint="eastAsia" w:ascii="仿宋_GB2312" w:hAnsi="仿宋_GB2312" w:eastAsia="仿宋_GB2312"/>
          <w:sz w:val="32"/>
          <w:lang w:val="en-US" w:eastAsia="zh-CN"/>
        </w:rPr>
        <w:t>12</w:t>
      </w:r>
      <w:r>
        <w:rPr>
          <w:rFonts w:hint="eastAsia" w:ascii="仿宋_GB2312" w:hAnsi="仿宋_GB2312" w:eastAsia="仿宋_GB2312"/>
          <w:sz w:val="32"/>
        </w:rPr>
        <w:t>日</w:t>
      </w:r>
    </w:p>
    <w:p>
      <w:pPr>
        <w:spacing w:line="580" w:lineRule="exact"/>
        <w:ind w:firstLine="640" w:firstLineChars="200"/>
        <w:rPr>
          <w:rFonts w:ascii="仿宋_GB2312" w:hAnsi="仿宋_GB2312" w:eastAsia="仿宋_GB2312" w:cs="仿宋_GB2312"/>
          <w:sz w:val="32"/>
          <w:szCs w:val="32"/>
        </w:rPr>
      </w:pPr>
    </w:p>
    <w:p>
      <w:pPr>
        <w:spacing w:line="580" w:lineRule="exact"/>
        <w:rPr>
          <w:rFonts w:hint="eastAsia" w:ascii="黑体" w:hAnsi="黑体" w:eastAsia="黑体" w:cs="黑体"/>
          <w:sz w:val="32"/>
          <w:szCs w:val="32"/>
        </w:rPr>
      </w:pPr>
    </w:p>
    <w:p>
      <w:pPr>
        <w:spacing w:line="580" w:lineRule="exact"/>
        <w:rPr>
          <w:rFonts w:hint="eastAsia" w:ascii="黑体" w:hAnsi="黑体" w:eastAsia="黑体" w:cs="黑体"/>
          <w:sz w:val="32"/>
          <w:szCs w:val="32"/>
        </w:rPr>
      </w:pPr>
    </w:p>
    <w:p>
      <w:pPr>
        <w:spacing w:line="580" w:lineRule="exact"/>
        <w:rPr>
          <w:rFonts w:hint="eastAsia" w:ascii="黑体" w:hAnsi="黑体" w:eastAsia="黑体" w:cs="黑体"/>
          <w:sz w:val="32"/>
          <w:szCs w:val="32"/>
        </w:rPr>
      </w:pPr>
    </w:p>
    <w:p>
      <w:pPr>
        <w:spacing w:line="580" w:lineRule="exact"/>
        <w:rPr>
          <w:rFonts w:hint="eastAsia" w:ascii="黑体" w:hAnsi="黑体" w:eastAsia="黑体" w:cs="黑体"/>
          <w:sz w:val="32"/>
          <w:szCs w:val="32"/>
        </w:rPr>
      </w:pPr>
    </w:p>
    <w:p>
      <w:pPr>
        <w:spacing w:line="580" w:lineRule="exact"/>
        <w:rPr>
          <w:rFonts w:hint="eastAsia" w:ascii="黑体" w:hAnsi="黑体" w:eastAsia="黑体" w:cs="黑体"/>
          <w:sz w:val="32"/>
          <w:szCs w:val="32"/>
        </w:rPr>
      </w:pP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附件2</w:t>
      </w:r>
    </w:p>
    <w:p>
      <w:pPr>
        <w:spacing w:line="580" w:lineRule="exact"/>
        <w:ind w:firstLine="640" w:firstLineChars="200"/>
        <w:rPr>
          <w:rFonts w:ascii="仿宋_GB2312" w:hAnsi="仿宋_GB2312" w:eastAsia="仿宋_GB2312" w:cs="仿宋_GB2312"/>
          <w:sz w:val="32"/>
          <w:szCs w:val="32"/>
        </w:rPr>
      </w:pP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rPr>
        <w:t>XXX</w:t>
      </w:r>
      <w:r>
        <w:rPr>
          <w:rFonts w:hint="eastAsia" w:ascii="方正小标宋简体" w:hAnsi="宋体" w:eastAsia="方正小标宋简体"/>
          <w:color w:val="000000"/>
          <w:kern w:val="0"/>
          <w:sz w:val="44"/>
          <w:szCs w:val="44"/>
          <w:lang w:val="zh-CN"/>
        </w:rPr>
        <w:t>项目</w:t>
      </w:r>
      <w:r>
        <w:rPr>
          <w:rFonts w:hint="eastAsia" w:ascii="方正小标宋简体" w:hAnsi="宋体" w:eastAsia="方正小标宋简体"/>
          <w:color w:val="000000"/>
          <w:kern w:val="0"/>
          <w:sz w:val="44"/>
          <w:szCs w:val="44"/>
        </w:rPr>
        <w:t>2019年</w:t>
      </w:r>
      <w:r>
        <w:rPr>
          <w:rFonts w:hint="eastAsia" w:ascii="方正小标宋简体" w:hAnsi="宋体" w:eastAsia="方正小标宋简体"/>
          <w:color w:val="000000"/>
          <w:kern w:val="0"/>
          <w:sz w:val="44"/>
          <w:szCs w:val="44"/>
          <w:lang w:val="zh-CN"/>
        </w:rPr>
        <w:t>绩效评价报告</w:t>
      </w:r>
    </w:p>
    <w:p>
      <w:pPr>
        <w:spacing w:line="600" w:lineRule="exact"/>
        <w:rPr>
          <w:rFonts w:ascii="宋体" w:hAns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（一）项目基本情况。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1．说明项目主管部门（单位）在该项目管理中的职能。</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2．项目立项、资金申报的依据。</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3．资金管理办法制定情况，资金支持具体项目的条件、范围与支持方式概况。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4．资金分配的原则及考虑因素。</w:t>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（二）项目绩效目标。</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2．项目应实现的具体绩效目标，包括目标的量化、细化情况以及项目实施进度计划等。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3．分析评价申报内容是否与实际相符，申报目标是否合理可行。</w:t>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说明项目绩效自评采用的组织实施步骤及方法。</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说明项目资金申报、批复及预算调整等程序的相关情况。</w:t>
      </w:r>
    </w:p>
    <w:p>
      <w:pPr>
        <w:adjustRightInd w:val="0"/>
        <w:snapToGrid w:val="0"/>
        <w:spacing w:line="600" w:lineRule="exact"/>
        <w:ind w:firstLine="720"/>
        <w:rPr>
          <w:rFonts w:ascii="仿宋_GB2312" w:hAnsi="宋体" w:eastAsia="仿宋_GB2312"/>
          <w:b w:val="0"/>
          <w:bCs/>
          <w:sz w:val="32"/>
          <w:szCs w:val="32"/>
          <w:lang w:val="zh-CN"/>
        </w:rPr>
      </w:pPr>
      <w:r>
        <w:rPr>
          <w:rFonts w:hint="eastAsia" w:ascii="楷体_GB2312" w:hAnsi="宋体" w:eastAsia="楷体_GB2312"/>
          <w:b w:val="0"/>
          <w:bCs/>
          <w:sz w:val="32"/>
          <w:szCs w:val="32"/>
          <w:lang w:val="zh-CN"/>
        </w:rPr>
        <w:t>（二）资金计划、到位及使用情况（可用表格形式反映）</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sz w:val="32"/>
          <w:szCs w:val="32"/>
          <w:lang w:val="zh-CN"/>
        </w:rPr>
        <w:t>1．资金计划。</w:t>
      </w:r>
      <w:r>
        <w:rPr>
          <w:rFonts w:hint="eastAsia" w:ascii="仿宋_GB2312" w:hAnsi="宋体" w:eastAsia="仿宋_GB2312"/>
          <w:sz w:val="32"/>
          <w:szCs w:val="32"/>
          <w:lang w:val="zh-CN"/>
        </w:rPr>
        <w:t>在说明该项目全省资金计划的基础上，分项目大类或市（州）分别说明各类资金计划情况，包括中央、省、市（州）、县（市、区）财政资金、项目单位自筹、其他渠道资金（包括银行贷款及其他资金等）。</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sz w:val="32"/>
          <w:szCs w:val="32"/>
          <w:lang w:val="zh-CN"/>
        </w:rPr>
        <w:t>2．资金到位。</w:t>
      </w:r>
      <w:r>
        <w:rPr>
          <w:rFonts w:hint="eastAsia" w:ascii="仿宋_GB2312" w:hAnsi="宋体" w:eastAsia="仿宋_GB2312"/>
          <w:sz w:val="32"/>
          <w:szCs w:val="32"/>
          <w:lang w:val="zh-CN"/>
        </w:rPr>
        <w:t>汇总统计截止评价时点该项目全省资金到位情况。在此基础上分项目大类或市（州）统计各类资金到位情况，包括中央、省、市（州）、县（市、区）财政资金、项目单位自筹及其他渠道资金（包括银行贷款及其他资金等）。将资金到位情况与资金计划进行比对，并重点围绕资金到位率、到位及时性等进行评价，对未到位或到位不及时的情况作出分析说明。</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sz w:val="32"/>
          <w:szCs w:val="32"/>
          <w:lang w:val="zh-CN"/>
        </w:rPr>
        <w:t>3．资金使用。</w:t>
      </w:r>
      <w:r>
        <w:rPr>
          <w:rFonts w:hint="eastAsia" w:ascii="仿宋_GB2312" w:hAnsi="宋体" w:eastAsia="仿宋_GB2312"/>
          <w:sz w:val="32"/>
          <w:szCs w:val="32"/>
          <w:lang w:val="zh-CN"/>
        </w:rPr>
        <w:t>汇总统计截止评价时点该项目全省资金支出情况。在此基础上分项目大类或市（州）统计资金支出情况，并对资金使用的安全性、规范性及有效性进行重点分析，包括资金支付范围、支付标准、支付进度、支付依据等是否合规合法、是否与预算相符，并对自评中发现的相关问题进行分析说明。</w:t>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（三）项目财务管理情况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总体评价各项目实施单位财务管理制度是否健全，是否严格执行财务管理制度，账务处理是否及时，会计核算是否规范等。</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结合项目组织实施管理办法，重点围绕以下内容进行分析评价，并对自评中发现的问题分析说明。</w:t>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（一）项目组织架构及实施流程。</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val="0"/>
          <w:bCs/>
          <w:sz w:val="32"/>
          <w:szCs w:val="32"/>
          <w:lang w:val="zh-CN"/>
        </w:rPr>
        <w:t>（二）项目管理情况。</w:t>
      </w:r>
      <w:r>
        <w:rPr>
          <w:rFonts w:hint="eastAsia" w:ascii="仿宋_GB2312" w:hAnsi="宋体" w:eastAsia="仿宋_GB2312"/>
          <w:b w:val="0"/>
          <w:bCs/>
          <w:sz w:val="32"/>
          <w:szCs w:val="32"/>
          <w:lang w:val="zh-CN"/>
        </w:rPr>
        <w:t>结合项目特点，总体评价各项目</w:t>
      </w:r>
      <w:r>
        <w:rPr>
          <w:rFonts w:hint="eastAsia" w:ascii="仿宋_GB2312" w:hAnsi="宋体" w:eastAsia="仿宋_GB2312"/>
          <w:sz w:val="32"/>
          <w:szCs w:val="32"/>
          <w:lang w:val="zh-CN"/>
        </w:rPr>
        <w:t>实施单位执行相关法律法规及项目管理制度等情况，如招投标、政府采购、项目公示制等相关规定。</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val="0"/>
          <w:bCs/>
          <w:sz w:val="32"/>
          <w:szCs w:val="32"/>
          <w:lang w:val="zh-CN"/>
        </w:rPr>
        <w:t>（三）项目监管情况。</w:t>
      </w:r>
      <w:r>
        <w:rPr>
          <w:rFonts w:hint="eastAsia" w:ascii="仿宋_GB2312" w:hAnsi="宋体" w:eastAsia="仿宋_GB2312"/>
          <w:b w:val="0"/>
          <w:bCs/>
          <w:sz w:val="32"/>
          <w:szCs w:val="32"/>
          <w:lang w:val="zh-CN"/>
        </w:rPr>
        <w:t>说明项目主管部门为加强项目管</w:t>
      </w:r>
      <w:r>
        <w:rPr>
          <w:rFonts w:hint="eastAsia" w:ascii="仿宋_GB2312" w:hAnsi="宋体" w:eastAsia="仿宋_GB2312"/>
          <w:sz w:val="32"/>
          <w:szCs w:val="32"/>
          <w:lang w:val="zh-CN"/>
        </w:rPr>
        <w:t>理所采取的监管手段、监管程序、监管工作开展情况及实现的效果等。</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hint="eastAsia"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（一）项目完成情况</w:t>
      </w:r>
    </w:p>
    <w:p>
      <w:pPr>
        <w:adjustRightInd w:val="0"/>
        <w:snapToGrid w:val="0"/>
        <w:spacing w:line="600" w:lineRule="exact"/>
        <w:ind w:firstLine="720"/>
        <w:rPr>
          <w:rFonts w:ascii="楷体_GB2312" w:hAnsi="宋体" w:eastAsia="楷体_GB2312"/>
          <w:b/>
          <w:sz w:val="32"/>
          <w:szCs w:val="32"/>
          <w:lang w:val="zh-CN"/>
        </w:rPr>
      </w:pPr>
      <w:r>
        <w:rPr>
          <w:rFonts w:hint="eastAsia" w:ascii="仿宋_GB2312" w:hAnsi="宋体" w:eastAsia="仿宋_GB2312"/>
          <w:sz w:val="32"/>
          <w:szCs w:val="32"/>
          <w:lang w:val="zh-CN"/>
        </w:rPr>
        <w:t>包括项目完成数量、质量、时效、成本等情况，对照项目计划完成目标，对截止评价时点的任务量完成、质量标准、进度计划、成本控制目标的实现程度进行评价，并进行分析说明。</w:t>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从项目经济效益、社会效益、生态效益、可持续效益以及服务对象满意度等方面对项目效益进行全面分析评价。</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（一）评价结论</w:t>
      </w:r>
    </w:p>
    <w:p>
      <w:pPr>
        <w:adjustRightInd w:val="0"/>
        <w:snapToGrid w:val="0"/>
        <w:spacing w:line="600" w:lineRule="exact"/>
        <w:ind w:firstLine="640" w:firstLineChars="200"/>
        <w:rPr>
          <w:rFonts w:ascii="仿宋_GB2312" w:hAnsi="宋体" w:eastAsia="仿宋_GB2312"/>
          <w:sz w:val="32"/>
          <w:szCs w:val="32"/>
          <w:bdr w:val="single" w:color="auto" w:sz="4" w:space="0"/>
          <w:lang w:val="zh-CN"/>
        </w:rPr>
      </w:pPr>
      <w:r>
        <w:rPr>
          <w:rFonts w:hint="eastAsia" w:ascii="仿宋_GB2312" w:hAnsi="宋体" w:eastAsia="仿宋_GB2312"/>
          <w:sz w:val="32"/>
          <w:szCs w:val="32"/>
          <w:lang w:val="zh-CN"/>
        </w:rPr>
        <w:t>结合项目自身特点、评价重点及管理办法等要求，围绕专项项目支出绩效评价指标体系对项目进行总体评价。</w:t>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（二）存在的问题</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结合自评情况，分析存在的问题及原因。</w:t>
      </w:r>
      <w:r>
        <w:rPr>
          <w:rFonts w:hint="eastAsia"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val="0"/>
          <w:bCs/>
          <w:sz w:val="32"/>
          <w:szCs w:val="32"/>
          <w:lang w:val="zh-CN"/>
        </w:rPr>
      </w:pPr>
      <w:r>
        <w:rPr>
          <w:rFonts w:hint="eastAsia" w:ascii="楷体_GB2312" w:hAnsi="宋体" w:eastAsia="楷体_GB2312"/>
          <w:b w:val="0"/>
          <w:bCs/>
          <w:sz w:val="32"/>
          <w:szCs w:val="32"/>
          <w:lang w:val="zh-CN"/>
        </w:rPr>
        <w:t>（三）相关建议</w:t>
      </w:r>
    </w:p>
    <w:p>
      <w:pPr>
        <w:adjustRightInd w:val="0"/>
        <w:snapToGrid w:val="0"/>
        <w:spacing w:line="600" w:lineRule="exact"/>
        <w:ind w:firstLine="640" w:firstLineChars="200"/>
        <w:rPr>
          <w:rFonts w:ascii="仿宋_GB2312" w:hAnsi="仿宋_GB2312" w:eastAsia="仿宋_GB2312" w:cs="仿宋_GB2312"/>
          <w:sz w:val="32"/>
          <w:szCs w:val="32"/>
        </w:rPr>
      </w:pPr>
      <w:r>
        <w:rPr>
          <w:rFonts w:hint="eastAsia" w:ascii="仿宋_GB2312" w:hAnsi="宋体" w:eastAsia="仿宋_GB2312"/>
          <w:sz w:val="32"/>
          <w:szCs w:val="32"/>
          <w:lang w:val="zh-CN"/>
        </w:rPr>
        <w:t>针对项目自评中发现的问题，提出下一步改进完善的意见及有关政策性建议。</w:t>
      </w:r>
    </w:p>
    <w:p>
      <w:pPr>
        <w:widowControl/>
        <w:jc w:val="left"/>
        <w:rPr>
          <w:rStyle w:val="24"/>
          <w:rFonts w:ascii="黑体" w:hAnsi="黑体" w:eastAsia="黑体"/>
          <w:b w:val="0"/>
        </w:rPr>
      </w:pPr>
    </w:p>
    <w:p>
      <w:pPr>
        <w:widowControl/>
        <w:jc w:val="left"/>
        <w:rPr>
          <w:rStyle w:val="24"/>
          <w:rFonts w:ascii="黑体" w:hAnsi="黑体" w:eastAsia="黑体"/>
          <w:b w:val="0"/>
        </w:rPr>
      </w:pPr>
    </w:p>
    <w:p>
      <w:pPr>
        <w:spacing w:line="600" w:lineRule="exact"/>
        <w:jc w:val="center"/>
        <w:outlineLvl w:val="0"/>
        <w:rPr>
          <w:rFonts w:hint="eastAsia" w:ascii="黑体" w:hAnsi="黑体" w:eastAsia="黑体"/>
          <w:color w:val="000000"/>
          <w:sz w:val="44"/>
          <w:szCs w:val="44"/>
        </w:rPr>
      </w:pPr>
      <w:bookmarkStart w:id="101" w:name="_Toc15396618"/>
      <w:bookmarkStart w:id="102" w:name="_Toc23513"/>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both"/>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Style w:val="24"/>
          <w:rFonts w:ascii="黑体" w:hAnsi="黑体" w:eastAsia="黑体"/>
          <w:b w:val="0"/>
        </w:rPr>
      </w:pPr>
      <w:r>
        <w:rPr>
          <w:rFonts w:hint="eastAsia" w:ascii="黑体" w:hAnsi="黑体" w:eastAsia="黑体"/>
          <w:color w:val="000000"/>
          <w:sz w:val="44"/>
          <w:szCs w:val="44"/>
        </w:rPr>
        <w:t>第</w:t>
      </w:r>
      <w:r>
        <w:rPr>
          <w:rStyle w:val="24"/>
          <w:rFonts w:hint="eastAsia" w:ascii="黑体" w:hAnsi="黑体" w:eastAsia="黑体"/>
          <w:b w:val="0"/>
        </w:rPr>
        <w:t>五部分 附表</w:t>
      </w:r>
      <w:bookmarkEnd w:id="99"/>
      <w:bookmarkEnd w:id="101"/>
      <w:bookmarkEnd w:id="102"/>
    </w:p>
    <w:p>
      <w:pPr>
        <w:pageBreakBefore w:val="0"/>
        <w:widowControl w:val="0"/>
        <w:kinsoku/>
        <w:wordWrap/>
        <w:overflowPunct/>
        <w:topLinePunct w:val="0"/>
        <w:autoSpaceDE/>
        <w:autoSpaceDN/>
        <w:bidi w:val="0"/>
        <w:adjustRightInd/>
        <w:snapToGrid/>
        <w:spacing w:line="600" w:lineRule="exact"/>
        <w:jc w:val="center"/>
        <w:textAlignment w:val="auto"/>
        <w:outlineLvl w:val="0"/>
        <w:rPr>
          <w:rFonts w:ascii="仿宋" w:hAnsi="仿宋" w:eastAsia="仿宋"/>
          <w:b/>
          <w:color w:val="000000"/>
          <w:sz w:val="44"/>
          <w:szCs w:val="44"/>
        </w:rPr>
      </w:pPr>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03" w:name="_Toc32736"/>
      <w:bookmarkStart w:id="104" w:name="_Toc15396619"/>
      <w:r>
        <w:rPr>
          <w:rFonts w:hint="eastAsia" w:ascii="仿宋" w:hAnsi="仿宋" w:eastAsia="仿宋"/>
          <w:b w:val="0"/>
          <w:color w:val="000000"/>
        </w:rPr>
        <w:t>一、收</w:t>
      </w:r>
      <w:r>
        <w:rPr>
          <w:rStyle w:val="25"/>
          <w:rFonts w:hint="eastAsia" w:ascii="仿宋" w:hAnsi="仿宋" w:eastAsia="仿宋"/>
          <w:b w:val="0"/>
          <w:bCs w:val="0"/>
        </w:rPr>
        <w:t>入支出决算总表</w:t>
      </w:r>
      <w:bookmarkEnd w:id="103"/>
      <w:bookmarkEnd w:id="104"/>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05" w:name="_Toc15396620"/>
      <w:bookmarkStart w:id="106" w:name="_Toc19323"/>
      <w:r>
        <w:rPr>
          <w:rFonts w:hint="eastAsia" w:ascii="仿宋" w:hAnsi="仿宋" w:eastAsia="仿宋"/>
          <w:b w:val="0"/>
          <w:color w:val="000000"/>
        </w:rPr>
        <w:t>二、收</w:t>
      </w:r>
      <w:r>
        <w:rPr>
          <w:rStyle w:val="25"/>
          <w:rFonts w:hint="eastAsia" w:ascii="仿宋" w:hAnsi="仿宋" w:eastAsia="仿宋"/>
          <w:b w:val="0"/>
          <w:bCs w:val="0"/>
        </w:rPr>
        <w:t>入决算表</w:t>
      </w:r>
      <w:bookmarkEnd w:id="105"/>
      <w:bookmarkEnd w:id="106"/>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07" w:name="_Toc15396621"/>
      <w:bookmarkStart w:id="108" w:name="_Toc21131"/>
      <w:r>
        <w:rPr>
          <w:rStyle w:val="25"/>
          <w:rFonts w:hint="eastAsia" w:ascii="仿宋" w:hAnsi="仿宋" w:eastAsia="仿宋"/>
          <w:b w:val="0"/>
          <w:bCs w:val="0"/>
        </w:rPr>
        <w:t>三、</w:t>
      </w:r>
      <w:r>
        <w:rPr>
          <w:rFonts w:hint="eastAsia" w:ascii="仿宋" w:hAnsi="仿宋" w:eastAsia="仿宋"/>
          <w:b w:val="0"/>
          <w:color w:val="000000"/>
        </w:rPr>
        <w:t>支</w:t>
      </w:r>
      <w:r>
        <w:rPr>
          <w:rStyle w:val="25"/>
          <w:rFonts w:hint="eastAsia" w:ascii="仿宋" w:hAnsi="仿宋" w:eastAsia="仿宋"/>
          <w:b w:val="0"/>
          <w:bCs w:val="0"/>
        </w:rPr>
        <w:t>出决算表</w:t>
      </w:r>
      <w:bookmarkEnd w:id="107"/>
      <w:bookmarkEnd w:id="108"/>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b w:val="0"/>
          <w:color w:val="000000"/>
        </w:rPr>
      </w:pPr>
      <w:bookmarkStart w:id="109" w:name="_Toc15396622"/>
      <w:bookmarkStart w:id="110" w:name="_Toc3301"/>
      <w:r>
        <w:rPr>
          <w:rStyle w:val="25"/>
          <w:rFonts w:hint="eastAsia" w:ascii="仿宋" w:hAnsi="仿宋" w:eastAsia="仿宋"/>
          <w:b w:val="0"/>
          <w:bCs w:val="0"/>
        </w:rPr>
        <w:t>四、</w:t>
      </w:r>
      <w:r>
        <w:rPr>
          <w:rFonts w:hint="eastAsia" w:ascii="仿宋" w:hAnsi="仿宋" w:eastAsia="仿宋"/>
          <w:b w:val="0"/>
          <w:color w:val="000000"/>
        </w:rPr>
        <w:t>财</w:t>
      </w:r>
      <w:r>
        <w:rPr>
          <w:rStyle w:val="25"/>
          <w:rFonts w:hint="eastAsia" w:ascii="仿宋" w:hAnsi="仿宋" w:eastAsia="仿宋"/>
          <w:b w:val="0"/>
          <w:bCs w:val="0"/>
        </w:rPr>
        <w:t>政拨款收入支出决算总表</w:t>
      </w:r>
      <w:bookmarkEnd w:id="109"/>
      <w:bookmarkEnd w:id="110"/>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Style w:val="25"/>
          <w:rFonts w:ascii="仿宋" w:hAnsi="仿宋" w:eastAsia="仿宋"/>
          <w:b w:val="0"/>
          <w:bCs w:val="0"/>
        </w:rPr>
      </w:pPr>
      <w:bookmarkStart w:id="111" w:name="_Toc15396623"/>
      <w:bookmarkStart w:id="112" w:name="_Toc1956"/>
      <w:r>
        <w:rPr>
          <w:rStyle w:val="25"/>
          <w:rFonts w:hint="eastAsia" w:ascii="仿宋" w:hAnsi="仿宋" w:eastAsia="仿宋"/>
          <w:b w:val="0"/>
          <w:bCs w:val="0"/>
        </w:rPr>
        <w:t>五、</w:t>
      </w:r>
      <w:r>
        <w:rPr>
          <w:rFonts w:hint="eastAsia" w:ascii="仿宋" w:hAnsi="仿宋" w:eastAsia="仿宋"/>
          <w:b w:val="0"/>
          <w:color w:val="000000"/>
        </w:rPr>
        <w:t>财</w:t>
      </w:r>
      <w:r>
        <w:rPr>
          <w:rStyle w:val="25"/>
          <w:rFonts w:hint="eastAsia" w:ascii="仿宋" w:hAnsi="仿宋" w:eastAsia="仿宋"/>
          <w:b w:val="0"/>
          <w:bCs w:val="0"/>
        </w:rPr>
        <w:t>政拨款支出决算明细表</w:t>
      </w:r>
      <w:bookmarkEnd w:id="111"/>
      <w:bookmarkEnd w:id="112"/>
      <w:bookmarkStart w:id="113" w:name="_Toc15396624"/>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14" w:name="_Toc4270"/>
      <w:r>
        <w:rPr>
          <w:rStyle w:val="25"/>
          <w:rFonts w:hint="eastAsia" w:ascii="仿宋" w:hAnsi="仿宋" w:eastAsia="仿宋"/>
          <w:b w:val="0"/>
          <w:bCs w:val="0"/>
        </w:rPr>
        <w:t>六、</w:t>
      </w:r>
      <w:r>
        <w:rPr>
          <w:rFonts w:hint="eastAsia" w:ascii="仿宋" w:hAnsi="仿宋" w:eastAsia="仿宋"/>
          <w:b w:val="0"/>
          <w:color w:val="000000"/>
        </w:rPr>
        <w:t>一</w:t>
      </w:r>
      <w:r>
        <w:rPr>
          <w:rStyle w:val="25"/>
          <w:rFonts w:hint="eastAsia" w:ascii="仿宋" w:hAnsi="仿宋" w:eastAsia="仿宋"/>
          <w:b w:val="0"/>
          <w:bCs w:val="0"/>
        </w:rPr>
        <w:t>般公共预算财政拨款支出决算表</w:t>
      </w:r>
      <w:bookmarkEnd w:id="113"/>
      <w:bookmarkEnd w:id="114"/>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15" w:name="_Toc15396625"/>
      <w:bookmarkStart w:id="116" w:name="_Toc26030"/>
      <w:r>
        <w:rPr>
          <w:rStyle w:val="25"/>
          <w:rFonts w:hint="eastAsia" w:ascii="仿宋" w:hAnsi="仿宋" w:eastAsia="仿宋"/>
          <w:b w:val="0"/>
          <w:bCs w:val="0"/>
        </w:rPr>
        <w:t>七、</w:t>
      </w:r>
      <w:r>
        <w:rPr>
          <w:rFonts w:hint="eastAsia" w:ascii="仿宋" w:hAnsi="仿宋" w:eastAsia="仿宋"/>
          <w:b w:val="0"/>
          <w:color w:val="000000"/>
        </w:rPr>
        <w:t>一</w:t>
      </w:r>
      <w:r>
        <w:rPr>
          <w:rStyle w:val="25"/>
          <w:rFonts w:hint="eastAsia" w:ascii="仿宋" w:hAnsi="仿宋" w:eastAsia="仿宋"/>
          <w:b w:val="0"/>
          <w:bCs w:val="0"/>
        </w:rPr>
        <w:t>般公共预算财政拨款支出决算明细表</w:t>
      </w:r>
      <w:bookmarkEnd w:id="115"/>
      <w:bookmarkEnd w:id="116"/>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17" w:name="_Toc15396626"/>
      <w:bookmarkStart w:id="118" w:name="_Toc17031"/>
      <w:r>
        <w:rPr>
          <w:rStyle w:val="25"/>
          <w:rFonts w:hint="eastAsia" w:ascii="仿宋" w:hAnsi="仿宋" w:eastAsia="仿宋"/>
          <w:b w:val="0"/>
          <w:bCs w:val="0"/>
        </w:rPr>
        <w:t>八、</w:t>
      </w:r>
      <w:r>
        <w:rPr>
          <w:rFonts w:hint="eastAsia" w:ascii="仿宋" w:hAnsi="仿宋" w:eastAsia="仿宋"/>
          <w:b w:val="0"/>
          <w:color w:val="000000"/>
        </w:rPr>
        <w:t>一</w:t>
      </w:r>
      <w:r>
        <w:rPr>
          <w:rStyle w:val="25"/>
          <w:rFonts w:hint="eastAsia" w:ascii="仿宋" w:hAnsi="仿宋" w:eastAsia="仿宋"/>
          <w:b w:val="0"/>
          <w:bCs w:val="0"/>
        </w:rPr>
        <w:t>般公共预算财政拨款基本支出决算表</w:t>
      </w:r>
      <w:bookmarkEnd w:id="117"/>
      <w:bookmarkEnd w:id="118"/>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19" w:name="_Toc15396627"/>
      <w:bookmarkStart w:id="120" w:name="_Toc21474"/>
      <w:r>
        <w:rPr>
          <w:rStyle w:val="25"/>
          <w:rFonts w:hint="eastAsia" w:ascii="仿宋" w:hAnsi="仿宋" w:eastAsia="仿宋"/>
          <w:b w:val="0"/>
          <w:bCs w:val="0"/>
        </w:rPr>
        <w:t>九、</w:t>
      </w:r>
      <w:r>
        <w:rPr>
          <w:rFonts w:hint="eastAsia" w:ascii="仿宋" w:hAnsi="仿宋" w:eastAsia="仿宋"/>
          <w:b w:val="0"/>
          <w:color w:val="000000"/>
        </w:rPr>
        <w:t>一</w:t>
      </w:r>
      <w:r>
        <w:rPr>
          <w:rStyle w:val="25"/>
          <w:rFonts w:hint="eastAsia" w:ascii="仿宋" w:hAnsi="仿宋" w:eastAsia="仿宋"/>
          <w:b w:val="0"/>
          <w:bCs w:val="0"/>
        </w:rPr>
        <w:t>般公共预算财政拨款项目支出决算表</w:t>
      </w:r>
      <w:bookmarkEnd w:id="119"/>
      <w:bookmarkEnd w:id="120"/>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21" w:name="_Toc13771"/>
      <w:bookmarkStart w:id="122" w:name="_Toc15396628"/>
      <w:r>
        <w:rPr>
          <w:rStyle w:val="25"/>
          <w:rFonts w:hint="eastAsia" w:ascii="仿宋" w:hAnsi="仿宋" w:eastAsia="仿宋"/>
          <w:b w:val="0"/>
          <w:bCs w:val="0"/>
        </w:rPr>
        <w:t>十、</w:t>
      </w:r>
      <w:r>
        <w:rPr>
          <w:rFonts w:hint="eastAsia" w:ascii="仿宋" w:hAnsi="仿宋" w:eastAsia="仿宋"/>
          <w:b w:val="0"/>
          <w:color w:val="000000"/>
        </w:rPr>
        <w:t>一</w:t>
      </w:r>
      <w:r>
        <w:rPr>
          <w:rStyle w:val="25"/>
          <w:rFonts w:hint="eastAsia" w:ascii="仿宋" w:hAnsi="仿宋" w:eastAsia="仿宋"/>
          <w:b w:val="0"/>
          <w:bCs w:val="0"/>
        </w:rPr>
        <w:t>般公共预算财政拨款“三公”经费支出决算表</w:t>
      </w:r>
      <w:bookmarkEnd w:id="121"/>
      <w:bookmarkEnd w:id="122"/>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23" w:name="_Toc25878"/>
      <w:bookmarkStart w:id="124" w:name="_Toc15396629"/>
      <w:r>
        <w:rPr>
          <w:rStyle w:val="25"/>
          <w:rFonts w:hint="eastAsia" w:ascii="仿宋" w:hAnsi="仿宋" w:eastAsia="仿宋"/>
          <w:b w:val="0"/>
          <w:bCs w:val="0"/>
        </w:rPr>
        <w:t>十一、</w:t>
      </w:r>
      <w:r>
        <w:rPr>
          <w:rFonts w:hint="eastAsia" w:ascii="仿宋" w:hAnsi="仿宋" w:eastAsia="仿宋"/>
          <w:b w:val="0"/>
          <w:color w:val="000000"/>
        </w:rPr>
        <w:t>政</w:t>
      </w:r>
      <w:r>
        <w:rPr>
          <w:rStyle w:val="25"/>
          <w:rFonts w:hint="eastAsia" w:ascii="仿宋" w:hAnsi="仿宋" w:eastAsia="仿宋"/>
          <w:b w:val="0"/>
          <w:bCs w:val="0"/>
        </w:rPr>
        <w:t>府性基金预算财政拨款收入支出决算表</w:t>
      </w:r>
      <w:bookmarkEnd w:id="123"/>
      <w:bookmarkEnd w:id="124"/>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rPr>
      </w:pPr>
      <w:bookmarkStart w:id="125" w:name="_Toc21332"/>
      <w:bookmarkStart w:id="126" w:name="_Toc15396630"/>
      <w:r>
        <w:rPr>
          <w:rStyle w:val="25"/>
          <w:rFonts w:hint="eastAsia" w:ascii="仿宋" w:hAnsi="仿宋" w:eastAsia="仿宋"/>
          <w:b w:val="0"/>
          <w:bCs w:val="0"/>
        </w:rPr>
        <w:t>十二、</w:t>
      </w:r>
      <w:r>
        <w:rPr>
          <w:rFonts w:hint="eastAsia" w:ascii="仿宋" w:hAnsi="仿宋" w:eastAsia="仿宋"/>
          <w:b w:val="0"/>
          <w:color w:val="000000"/>
        </w:rPr>
        <w:t>政</w:t>
      </w:r>
      <w:r>
        <w:rPr>
          <w:rStyle w:val="25"/>
          <w:rFonts w:hint="eastAsia" w:ascii="仿宋" w:hAnsi="仿宋" w:eastAsia="仿宋"/>
          <w:b w:val="0"/>
          <w:bCs w:val="0"/>
        </w:rPr>
        <w:t>府性基金预算财政拨款“三公”经费支出决算表</w:t>
      </w:r>
      <w:bookmarkEnd w:id="125"/>
      <w:bookmarkEnd w:id="126"/>
    </w:p>
    <w:p>
      <w:pPr>
        <w:pStyle w:val="3"/>
        <w:keepNext/>
        <w:keepLines/>
        <w:pageBreakBefore w:val="0"/>
        <w:widowControl w:val="0"/>
        <w:kinsoku/>
        <w:wordWrap/>
        <w:overflowPunct/>
        <w:topLinePunct w:val="0"/>
        <w:autoSpaceDE/>
        <w:autoSpaceDN/>
        <w:bidi w:val="0"/>
        <w:adjustRightInd/>
        <w:snapToGrid/>
        <w:spacing w:before="0" w:after="0" w:line="416" w:lineRule="auto"/>
        <w:ind w:firstLine="640" w:firstLineChars="200"/>
        <w:textAlignment w:val="auto"/>
        <w:rPr>
          <w:rFonts w:ascii="仿宋" w:hAnsi="仿宋" w:eastAsia="仿宋"/>
          <w:color w:val="000000" w:themeColor="text1"/>
          <w14:textFill>
            <w14:solidFill>
              <w14:schemeClr w14:val="tx1"/>
            </w14:solidFill>
          </w14:textFill>
        </w:rPr>
      </w:pPr>
      <w:bookmarkStart w:id="127" w:name="_Toc25255"/>
      <w:bookmarkStart w:id="128" w:name="_Toc15396631"/>
      <w:r>
        <w:rPr>
          <w:rStyle w:val="25"/>
          <w:rFonts w:hint="eastAsia" w:ascii="仿宋" w:hAnsi="仿宋" w:eastAsia="仿宋"/>
          <w:b w:val="0"/>
          <w:bCs w:val="0"/>
        </w:rPr>
        <w:t>十三、</w:t>
      </w:r>
      <w:r>
        <w:rPr>
          <w:rFonts w:hint="eastAsia" w:ascii="仿宋" w:hAnsi="仿宋" w:eastAsia="仿宋"/>
          <w:b w:val="0"/>
          <w:color w:val="000000"/>
        </w:rPr>
        <w:t>国</w:t>
      </w:r>
      <w:r>
        <w:rPr>
          <w:rStyle w:val="25"/>
          <w:rFonts w:hint="eastAsia" w:ascii="仿宋" w:hAnsi="仿宋" w:eastAsia="仿宋"/>
          <w:b w:val="0"/>
          <w:bCs w:val="0"/>
        </w:rPr>
        <w:t>有资本经营预算支出决算表</w:t>
      </w:r>
      <w:bookmarkEnd w:id="127"/>
      <w:bookmarkEnd w:id="128"/>
    </w:p>
    <w:sectPr>
      <w:headerReference r:id="rId3" w:type="default"/>
      <w:footerReference r:id="rId4" w:type="default"/>
      <w:pgSz w:w="11906" w:h="16838"/>
      <w:pgMar w:top="2098" w:right="1474" w:bottom="1984" w:left="1587" w:header="851" w:footer="992" w:gutter="0"/>
      <w:pgNumType w:fmt="numberInDash"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文泉驿正黑">
    <w:panose1 w:val="02000603000000000000"/>
    <w:charset w:val="86"/>
    <w:family w:val="auto"/>
    <w:pitch w:val="default"/>
    <w:sig w:usb0="900002BF" w:usb1="2BDF7DFB" w:usb2="00000036" w:usb3="00000000" w:csb0="603E000D" w:csb1="D2D7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rFonts w:hint="eastAsia" w:asciiTheme="minorEastAsia" w:hAnsiTheme="minorEastAsia" w:eastAsiaTheme="minorEastAsia" w:cstheme="minorEastAsia"/>
                              <w:sz w:val="28"/>
                              <w:szCs w:val="28"/>
                            </w:rPr>
                            <w:id w:val="-1994781956"/>
                          </w:sdtPr>
                          <w:sdtEndPr>
                            <w:rPr>
                              <w:rFonts w:hint="eastAsia" w:asciiTheme="minorEastAsia" w:hAnsiTheme="minorEastAsia" w:eastAsiaTheme="minorEastAsia" w:cstheme="minorEastAsia"/>
                              <w:sz w:val="28"/>
                              <w:szCs w:val="28"/>
                            </w:rPr>
                          </w:sdtEndPr>
                          <w:sdtContent>
                            <w:p>
                              <w:pPr>
                                <w:pStyle w:val="8"/>
                                <w:jc w:val="cente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PAGE   \* MERGEFORMAT</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lang w:val="zh-CN"/>
                                </w:rPr>
                                <w:t>24</w:t>
                              </w:r>
                              <w:r>
                                <w:rPr>
                                  <w:rFonts w:hint="eastAsia" w:asciiTheme="minorEastAsia" w:hAnsiTheme="minorEastAsia" w:eastAsiaTheme="minorEastAsia" w:cstheme="minorEastAsia"/>
                                  <w:sz w:val="28"/>
                                  <w:szCs w:val="28"/>
                                </w:rPr>
                                <w:fldChar w:fldCharType="end"/>
                              </w:r>
                            </w:p>
                          </w:sdtContent>
                        </w:sdt>
                        <w:p>
                          <w:pPr>
                            <w:rPr>
                              <w:rFonts w:hint="eastAsia" w:asciiTheme="minorEastAsia" w:hAnsiTheme="minorEastAsia" w:eastAsiaTheme="minorEastAsia" w:cstheme="minorEastAsia"/>
                              <w:sz w:val="28"/>
                              <w:szCs w:val="28"/>
                            </w:rPr>
                          </w:pP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SQizEBwCAAApBAAADgAAAAAAAAABACAAAAA1AQAAZHJzL2Uyb0RvYy54bWxQSwUG&#10;AAAAAAYABgBZAQAAwwUAAAAA&#10;">
              <v:fill on="f" focussize="0,0"/>
              <v:stroke on="f" weight="0.5pt"/>
              <v:imagedata o:title=""/>
              <o:lock v:ext="edit" aspectratio="f"/>
              <v:textbox inset="0mm,0mm,0mm,0mm" style="mso-fit-shape-to-text:t;">
                <w:txbxContent>
                  <w:sdt>
                    <w:sdtPr>
                      <w:rPr>
                        <w:rFonts w:hint="eastAsia" w:asciiTheme="minorEastAsia" w:hAnsiTheme="minorEastAsia" w:eastAsiaTheme="minorEastAsia" w:cstheme="minorEastAsia"/>
                        <w:sz w:val="28"/>
                        <w:szCs w:val="28"/>
                      </w:rPr>
                      <w:id w:val="-1994781956"/>
                    </w:sdtPr>
                    <w:sdtEndPr>
                      <w:rPr>
                        <w:rFonts w:hint="eastAsia" w:asciiTheme="minorEastAsia" w:hAnsiTheme="minorEastAsia" w:eastAsiaTheme="minorEastAsia" w:cstheme="minorEastAsia"/>
                        <w:sz w:val="28"/>
                        <w:szCs w:val="28"/>
                      </w:rPr>
                    </w:sdtEndPr>
                    <w:sdtContent>
                      <w:p>
                        <w:pPr>
                          <w:pStyle w:val="8"/>
                          <w:jc w:val="cente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PAGE   \* MERGEFORMAT</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lang w:val="zh-CN"/>
                          </w:rPr>
                          <w:t>24</w:t>
                        </w:r>
                        <w:r>
                          <w:rPr>
                            <w:rFonts w:hint="eastAsia" w:asciiTheme="minorEastAsia" w:hAnsiTheme="minorEastAsia" w:eastAsiaTheme="minorEastAsia" w:cstheme="minorEastAsia"/>
                            <w:sz w:val="28"/>
                            <w:szCs w:val="28"/>
                          </w:rPr>
                          <w:fldChar w:fldCharType="end"/>
                        </w:r>
                      </w:p>
                    </w:sdtContent>
                  </w:sdt>
                  <w:p>
                    <w:pPr>
                      <w:rPr>
                        <w:rFonts w:hint="eastAsia" w:asciiTheme="minorEastAsia" w:hAnsiTheme="minorEastAsia" w:eastAsiaTheme="minorEastAsia" w:cstheme="minorEastAsia"/>
                        <w:sz w:val="28"/>
                        <w:szCs w:val="28"/>
                      </w:rPr>
                    </w:pPr>
                  </w:p>
                </w:txbxContent>
              </v:textbox>
            </v:shape>
          </w:pict>
        </mc:Fallback>
      </mc:AlternateContent>
    </w:r>
  </w:p>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3">
    <w:nsid w:val="2A8B9CA6"/>
    <w:multiLevelType w:val="singleLevel"/>
    <w:tmpl w:val="2A8B9CA6"/>
    <w:lvl w:ilvl="0" w:tentative="0">
      <w:start w:val="2"/>
      <w:numFmt w:val="chineseCounting"/>
      <w:suff w:val="nothing"/>
      <w:lvlText w:val="（%1）"/>
      <w:lvlJc w:val="left"/>
      <w:rPr>
        <w:rFonts w:hint="eastAsia"/>
      </w:rPr>
    </w:lvl>
  </w:abstractNum>
  <w:abstractNum w:abstractNumId="4">
    <w:nsid w:val="62621CDC"/>
    <w:multiLevelType w:val="multilevel"/>
    <w:tmpl w:val="62621CDC"/>
    <w:lvl w:ilvl="0" w:tentative="0">
      <w:start w:val="1"/>
      <w:numFmt w:val="decimal"/>
      <w:lvlText w:val="%1."/>
      <w:lvlJc w:val="left"/>
      <w:pPr>
        <w:ind w:left="1152" w:hanging="480"/>
      </w:pPr>
      <w:rPr>
        <w:rFonts w:hint="default"/>
      </w:rPr>
    </w:lvl>
    <w:lvl w:ilvl="1" w:tentative="0">
      <w:start w:val="1"/>
      <w:numFmt w:val="lowerLetter"/>
      <w:lvlText w:val="%2)"/>
      <w:lvlJc w:val="left"/>
      <w:pPr>
        <w:ind w:left="1512" w:hanging="420"/>
      </w:pPr>
    </w:lvl>
    <w:lvl w:ilvl="2" w:tentative="0">
      <w:start w:val="1"/>
      <w:numFmt w:val="lowerRoman"/>
      <w:lvlText w:val="%3."/>
      <w:lvlJc w:val="right"/>
      <w:pPr>
        <w:ind w:left="1932" w:hanging="420"/>
      </w:pPr>
    </w:lvl>
    <w:lvl w:ilvl="3" w:tentative="0">
      <w:start w:val="1"/>
      <w:numFmt w:val="decimal"/>
      <w:lvlText w:val="%4."/>
      <w:lvlJc w:val="left"/>
      <w:pPr>
        <w:ind w:left="2352" w:hanging="420"/>
      </w:pPr>
    </w:lvl>
    <w:lvl w:ilvl="4" w:tentative="0">
      <w:start w:val="1"/>
      <w:numFmt w:val="lowerLetter"/>
      <w:lvlText w:val="%5)"/>
      <w:lvlJc w:val="left"/>
      <w:pPr>
        <w:ind w:left="2772" w:hanging="420"/>
      </w:pPr>
    </w:lvl>
    <w:lvl w:ilvl="5" w:tentative="0">
      <w:start w:val="1"/>
      <w:numFmt w:val="lowerRoman"/>
      <w:lvlText w:val="%6."/>
      <w:lvlJc w:val="right"/>
      <w:pPr>
        <w:ind w:left="3192" w:hanging="420"/>
      </w:pPr>
    </w:lvl>
    <w:lvl w:ilvl="6" w:tentative="0">
      <w:start w:val="1"/>
      <w:numFmt w:val="decimal"/>
      <w:lvlText w:val="%7."/>
      <w:lvlJc w:val="left"/>
      <w:pPr>
        <w:ind w:left="3612" w:hanging="420"/>
      </w:pPr>
    </w:lvl>
    <w:lvl w:ilvl="7" w:tentative="0">
      <w:start w:val="1"/>
      <w:numFmt w:val="lowerLetter"/>
      <w:lvlText w:val="%8)"/>
      <w:lvlJc w:val="left"/>
      <w:pPr>
        <w:ind w:left="4032" w:hanging="420"/>
      </w:pPr>
    </w:lvl>
    <w:lvl w:ilvl="8" w:tentative="0">
      <w:start w:val="1"/>
      <w:numFmt w:val="lowerRoman"/>
      <w:lvlText w:val="%9."/>
      <w:lvlJc w:val="right"/>
      <w:pPr>
        <w:ind w:left="4452" w:hanging="420"/>
      </w:p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drawingGridHorizontalSpacing w:val="105"/>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19B0"/>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16CD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4F403E"/>
    <w:rsid w:val="00505A47"/>
    <w:rsid w:val="00512FDA"/>
    <w:rsid w:val="00520DA0"/>
    <w:rsid w:val="005664BB"/>
    <w:rsid w:val="00566FFA"/>
    <w:rsid w:val="0057481D"/>
    <w:rsid w:val="00575F0B"/>
    <w:rsid w:val="0058486E"/>
    <w:rsid w:val="00585B33"/>
    <w:rsid w:val="0059014D"/>
    <w:rsid w:val="005B5C64"/>
    <w:rsid w:val="005C6BD0"/>
    <w:rsid w:val="005C6C4C"/>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27533"/>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F1991"/>
    <w:rsid w:val="007F2C2F"/>
    <w:rsid w:val="007F55FC"/>
    <w:rsid w:val="007F5665"/>
    <w:rsid w:val="00800112"/>
    <w:rsid w:val="00813348"/>
    <w:rsid w:val="008253BB"/>
    <w:rsid w:val="00833962"/>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E98"/>
    <w:rsid w:val="009C37FB"/>
    <w:rsid w:val="009D3447"/>
    <w:rsid w:val="009D4711"/>
    <w:rsid w:val="009F1185"/>
    <w:rsid w:val="009F18CD"/>
    <w:rsid w:val="009F2A13"/>
    <w:rsid w:val="009F7527"/>
    <w:rsid w:val="00A039ED"/>
    <w:rsid w:val="00A04EB0"/>
    <w:rsid w:val="00A13CC1"/>
    <w:rsid w:val="00A16847"/>
    <w:rsid w:val="00A237D8"/>
    <w:rsid w:val="00A268C4"/>
    <w:rsid w:val="00A307CD"/>
    <w:rsid w:val="00A331C8"/>
    <w:rsid w:val="00A35117"/>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0F83"/>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0E69"/>
    <w:rsid w:val="00C33E72"/>
    <w:rsid w:val="00C354B2"/>
    <w:rsid w:val="00C35554"/>
    <w:rsid w:val="00C42709"/>
    <w:rsid w:val="00C533CC"/>
    <w:rsid w:val="00C5751C"/>
    <w:rsid w:val="00C61BFC"/>
    <w:rsid w:val="00C62B85"/>
    <w:rsid w:val="00C65438"/>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66797"/>
    <w:rsid w:val="00E82267"/>
    <w:rsid w:val="00E853CE"/>
    <w:rsid w:val="00E867B6"/>
    <w:rsid w:val="00E87F08"/>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4D90FB0"/>
    <w:rsid w:val="06213D8E"/>
    <w:rsid w:val="0A8A70B9"/>
    <w:rsid w:val="0C2078F4"/>
    <w:rsid w:val="0FB33093"/>
    <w:rsid w:val="10C055FF"/>
    <w:rsid w:val="16BB723D"/>
    <w:rsid w:val="240371BF"/>
    <w:rsid w:val="26BF1516"/>
    <w:rsid w:val="29FD04D3"/>
    <w:rsid w:val="2B717907"/>
    <w:rsid w:val="319F7F4E"/>
    <w:rsid w:val="35BC0B9F"/>
    <w:rsid w:val="3D4D1A9C"/>
    <w:rsid w:val="429A119D"/>
    <w:rsid w:val="4711163B"/>
    <w:rsid w:val="4ECE2238"/>
    <w:rsid w:val="569168CE"/>
    <w:rsid w:val="5834765D"/>
    <w:rsid w:val="5F690ED2"/>
    <w:rsid w:val="6409403E"/>
    <w:rsid w:val="68415C60"/>
    <w:rsid w:val="69C65551"/>
    <w:rsid w:val="6F0E341B"/>
    <w:rsid w:val="724B005C"/>
    <w:rsid w:val="72734D90"/>
    <w:rsid w:val="777B5408"/>
    <w:rsid w:val="7A7B7968"/>
    <w:rsid w:val="7D78416D"/>
    <w:rsid w:val="7E3264C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8"/>
    <w:unhideWhenUsed/>
    <w:qFormat/>
    <w:uiPriority w:val="9"/>
    <w:pPr>
      <w:keepNext/>
      <w:keepLines/>
      <w:spacing w:before="260" w:after="260" w:line="416" w:lineRule="auto"/>
      <w:outlineLvl w:val="2"/>
    </w:pPr>
    <w:rPr>
      <w:b/>
      <w:bCs/>
      <w:sz w:val="32"/>
      <w:szCs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1"/>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7"/>
    <w:semiHidden/>
    <w:unhideWhenUsed/>
    <w:qFormat/>
    <w:uiPriority w:val="99"/>
    <w:rPr>
      <w:sz w:val="18"/>
      <w:szCs w:val="18"/>
    </w:rPr>
  </w:style>
  <w:style w:type="paragraph" w:styleId="8">
    <w:name w:val="footer"/>
    <w:basedOn w:val="1"/>
    <w:link w:val="19"/>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7"/>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character" w:styleId="14">
    <w:name w:val="Strong"/>
    <w:basedOn w:val="13"/>
    <w:qFormat/>
    <w:uiPriority w:val="99"/>
    <w:rPr>
      <w:b/>
    </w:rPr>
  </w:style>
  <w:style w:type="character" w:styleId="15">
    <w:name w:val="Hyperlink"/>
    <w:basedOn w:val="13"/>
    <w:unhideWhenUsed/>
    <w:qFormat/>
    <w:uiPriority w:val="99"/>
    <w:rPr>
      <w:color w:val="0000FF" w:themeColor="hyperlink"/>
      <w:u w:val="single"/>
      <w14:textFill>
        <w14:solidFill>
          <w14:schemeClr w14:val="hlink"/>
        </w14:solidFill>
      </w14:textFill>
    </w:rPr>
  </w:style>
  <w:style w:type="character" w:customStyle="1" w:styleId="16">
    <w:name w:val="Header Char"/>
    <w:basedOn w:val="13"/>
    <w:semiHidden/>
    <w:qFormat/>
    <w:uiPriority w:val="99"/>
    <w:rPr>
      <w:rFonts w:ascii="Times New Roman" w:hAnsi="Times New Roman"/>
      <w:sz w:val="18"/>
      <w:szCs w:val="18"/>
    </w:rPr>
  </w:style>
  <w:style w:type="character" w:customStyle="1" w:styleId="17">
    <w:name w:val="页眉 Char"/>
    <w:link w:val="9"/>
    <w:semiHidden/>
    <w:qFormat/>
    <w:locked/>
    <w:uiPriority w:val="99"/>
    <w:rPr>
      <w:sz w:val="18"/>
    </w:rPr>
  </w:style>
  <w:style w:type="character" w:customStyle="1" w:styleId="18">
    <w:name w:val="Footer Char"/>
    <w:basedOn w:val="13"/>
    <w:semiHidden/>
    <w:qFormat/>
    <w:uiPriority w:val="99"/>
    <w:rPr>
      <w:rFonts w:ascii="Times New Roman" w:hAnsi="Times New Roman"/>
      <w:sz w:val="18"/>
      <w:szCs w:val="18"/>
    </w:rPr>
  </w:style>
  <w:style w:type="character" w:customStyle="1" w:styleId="19">
    <w:name w:val="页脚 Char"/>
    <w:link w:val="8"/>
    <w:qFormat/>
    <w:locked/>
    <w:uiPriority w:val="99"/>
    <w:rPr>
      <w:sz w:val="18"/>
    </w:rPr>
  </w:style>
  <w:style w:type="character" w:customStyle="1" w:styleId="20">
    <w:name w:val="Body Text Char"/>
    <w:basedOn w:val="13"/>
    <w:semiHidden/>
    <w:qFormat/>
    <w:uiPriority w:val="99"/>
    <w:rPr>
      <w:rFonts w:ascii="Times New Roman" w:hAnsi="Times New Roman"/>
      <w:szCs w:val="24"/>
    </w:rPr>
  </w:style>
  <w:style w:type="character" w:customStyle="1" w:styleId="21">
    <w:name w:val="正文文本 Char"/>
    <w:link w:val="5"/>
    <w:qFormat/>
    <w:locked/>
    <w:uiPriority w:val="99"/>
    <w:rPr>
      <w:rFonts w:ascii="仿宋_GB2312" w:hAnsi="Times New Roman" w:eastAsia="仿宋_GB2312"/>
      <w:sz w:val="24"/>
    </w:rPr>
  </w:style>
  <w:style w:type="paragraph" w:customStyle="1" w:styleId="22">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3">
    <w:name w:val="List Paragraph"/>
    <w:basedOn w:val="1"/>
    <w:qFormat/>
    <w:uiPriority w:val="34"/>
    <w:pPr>
      <w:ind w:firstLine="420" w:firstLineChars="200"/>
    </w:pPr>
  </w:style>
  <w:style w:type="character" w:customStyle="1" w:styleId="24">
    <w:name w:val="标题 1 Char"/>
    <w:basedOn w:val="13"/>
    <w:link w:val="2"/>
    <w:qFormat/>
    <w:uiPriority w:val="9"/>
    <w:rPr>
      <w:rFonts w:ascii="Times New Roman" w:hAnsi="Times New Roman"/>
      <w:b/>
      <w:bCs/>
      <w:kern w:val="44"/>
      <w:sz w:val="44"/>
      <w:szCs w:val="44"/>
    </w:rPr>
  </w:style>
  <w:style w:type="character" w:customStyle="1" w:styleId="25">
    <w:name w:val="标题 2 Char"/>
    <w:basedOn w:val="13"/>
    <w:link w:val="3"/>
    <w:qFormat/>
    <w:uiPriority w:val="9"/>
    <w:rPr>
      <w:rFonts w:asciiTheme="majorHAnsi" w:hAnsiTheme="majorHAnsi" w:eastAsiaTheme="majorEastAsia" w:cstheme="majorBidi"/>
      <w:b/>
      <w:bCs/>
      <w:kern w:val="2"/>
      <w:sz w:val="32"/>
      <w:szCs w:val="32"/>
    </w:rPr>
  </w:style>
  <w:style w:type="paragraph" w:customStyle="1" w:styleId="26">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7">
    <w:name w:val="批注框文本 Char"/>
    <w:basedOn w:val="13"/>
    <w:link w:val="7"/>
    <w:semiHidden/>
    <w:qFormat/>
    <w:uiPriority w:val="99"/>
    <w:rPr>
      <w:rFonts w:ascii="Times New Roman" w:hAnsi="Times New Roman"/>
      <w:kern w:val="2"/>
      <w:sz w:val="18"/>
      <w:szCs w:val="18"/>
    </w:rPr>
  </w:style>
  <w:style w:type="character" w:customStyle="1" w:styleId="28">
    <w:name w:val="标题 3 Char"/>
    <w:basedOn w:val="13"/>
    <w:link w:val="4"/>
    <w:qFormat/>
    <w:uiPriority w:val="9"/>
    <w:rPr>
      <w:rFonts w:ascii="Times New Roman" w:hAnsi="Times New Roman"/>
      <w:b/>
      <w:bCs/>
      <w:kern w:val="2"/>
      <w:sz w:val="32"/>
      <w:szCs w:val="32"/>
    </w:rPr>
  </w:style>
  <w:style w:type="paragraph" w:customStyle="1" w:styleId="29">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chart" Target="charts/chart4.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emf"/><Relationship Id="rId13" Type="http://schemas.openxmlformats.org/officeDocument/2006/relationships/oleObject" Target="embeddings/oleObject2.bin"/><Relationship Id="rId12" Type="http://schemas.openxmlformats.org/officeDocument/2006/relationships/image" Target="media/image1.emf"/><Relationship Id="rId11" Type="http://schemas.openxmlformats.org/officeDocument/2006/relationships/oleObject" Target="embeddings/oleObject1.bin"/><Relationship Id="rId10" Type="http://schemas.openxmlformats.org/officeDocument/2006/relationships/chart" Target="charts/chart5.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package" Target="../embeddings/Workbook3.xlsx"/></Relationships>
</file>

<file path=word/charts/_rels/chart2.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oleObject" Target="file:///C:\Users\ADMINI~1\AppData\Local\Temp\wps.oF8356\Workbook1.xlsx" TargetMode="External"/></Relationships>
</file>

<file path=word/charts/_rels/chart3.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package" Target="../embeddings/Workbook2.xlsx"/></Relationships>
</file>

<file path=word/charts/_rels/chart4.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Workbook1.xlsx"/></Relationships>
</file>

<file path=word/charts/_rels/chart5.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package" Target="../embeddings/Workbook4.xlsx"/></Relationships>
</file>

<file path=word/charts/chart1.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defTabSz="914400">
              <a:defRPr lang="zh-CN" sz="1400" b="0" i="0" u="none" strike="noStrike" kern="1200" spc="0" baseline="0">
                <a:solidFill>
                  <a:schemeClr val="tx1">
                    <a:lumMod val="65000"/>
                    <a:lumOff val="35000"/>
                  </a:schemeClr>
                </a:solidFill>
                <a:latin typeface="+mn-lt"/>
                <a:ea typeface="+mn-ea"/>
                <a:cs typeface="+mn-cs"/>
              </a:defRPr>
            </a:pPr>
            <a:r>
              <a:t>收支总计</a:t>
            </a:r>
          </a:p>
        </c:rich>
      </c:tx>
      <c:layout/>
      <c:overlay val="false"/>
      <c:spPr>
        <a:noFill/>
        <a:ln>
          <a:noFill/>
        </a:ln>
        <a:effectLst/>
      </c:spPr>
    </c:title>
    <c:autoTitleDeleted val="false"/>
    <c:plotArea>
      <c:layout/>
      <c:barChart>
        <c:barDir val="col"/>
        <c:grouping val="clustered"/>
        <c:varyColors val="false"/>
        <c:ser>
          <c:idx val="0"/>
          <c:order val="0"/>
          <c:tx>
            <c:strRef>
              <c:f>Sheet1!$B$1</c:f>
              <c:strCache>
                <c:ptCount val="1"/>
                <c:pt idx="0">
                  <c:v>万元</c:v>
                </c:pt>
              </c:strCache>
            </c:strRef>
          </c:tx>
          <c:spPr>
            <a:solidFill>
              <a:schemeClr val="accent1"/>
            </a:solidFill>
            <a:ln>
              <a:noFill/>
            </a:ln>
            <a:effectLst/>
          </c:spPr>
          <c:invertIfNegative val="false"/>
          <c:dLbls>
            <c:delete val="true"/>
          </c:dLbls>
          <c:cat>
            <c:strRef>
              <c:f>Sheet1!$A$2:$A$5</c:f>
              <c:strCache>
                <c:ptCount val="4"/>
                <c:pt idx="0">
                  <c:v>2018年度收、支总计</c:v>
                </c:pt>
                <c:pt idx="2">
                  <c:v>2019年度收、支总计</c:v>
                </c:pt>
              </c:strCache>
            </c:strRef>
          </c:cat>
          <c:val>
            <c:numRef>
              <c:f>Sheet1!$B$2:$B$5</c:f>
              <c:numCache>
                <c:formatCode>General</c:formatCode>
                <c:ptCount val="4"/>
                <c:pt idx="0">
                  <c:v>852.41</c:v>
                </c:pt>
                <c:pt idx="2">
                  <c:v>829.01</c:v>
                </c:pt>
              </c:numCache>
            </c:numRef>
          </c:val>
        </c:ser>
        <c:ser>
          <c:idx val="1"/>
          <c:order val="1"/>
          <c:tx>
            <c:strRef>
              <c:f>Sheet1!$C$1</c:f>
              <c:strCache>
                <c:ptCount val="1"/>
                <c:pt idx="0">
                  <c:v/>
                </c:pt>
              </c:strCache>
            </c:strRef>
          </c:tx>
          <c:spPr>
            <a:solidFill>
              <a:schemeClr val="accent2"/>
            </a:solidFill>
            <a:ln>
              <a:noFill/>
            </a:ln>
            <a:effectLst/>
          </c:spPr>
          <c:invertIfNegative val="false"/>
          <c:dLbls>
            <c:delete val="true"/>
          </c:dLbls>
          <c:cat>
            <c:strRef>
              <c:f>Sheet1!$A$2:$A$5</c:f>
              <c:strCache>
                <c:ptCount val="4"/>
                <c:pt idx="0">
                  <c:v>2018年度收、支总计</c:v>
                </c:pt>
                <c:pt idx="2">
                  <c:v>2019年度收、支总计</c:v>
                </c:pt>
              </c:strCache>
            </c:strRef>
          </c:cat>
          <c:val>
            <c:numRef>
              <c:f>Sheet1!$C$2:$C$5</c:f>
              <c:numCache>
                <c:formatCode>General</c:formatCode>
                <c:ptCount val="4"/>
              </c:numCache>
            </c:numRef>
          </c:val>
        </c:ser>
        <c:ser>
          <c:idx val="2"/>
          <c:order val="2"/>
          <c:tx>
            <c:strRef>
              <c:f>Sheet1!$D$1</c:f>
              <c:strCache>
                <c:ptCount val="1"/>
                <c:pt idx="0">
                  <c:v/>
                </c:pt>
              </c:strCache>
            </c:strRef>
          </c:tx>
          <c:spPr>
            <a:solidFill>
              <a:schemeClr val="accent3"/>
            </a:solidFill>
            <a:ln>
              <a:noFill/>
            </a:ln>
            <a:effectLst/>
          </c:spPr>
          <c:invertIfNegative val="false"/>
          <c:dLbls>
            <c:delete val="true"/>
          </c:dLbls>
          <c:cat>
            <c:strRef>
              <c:f>Sheet1!$A$2:$A$5</c:f>
              <c:strCache>
                <c:ptCount val="4"/>
                <c:pt idx="0">
                  <c:v>2018年度收、支总计</c:v>
                </c:pt>
                <c:pt idx="2">
                  <c:v>2019年度收、支总计</c:v>
                </c:pt>
              </c:strCache>
            </c:strRef>
          </c:cat>
          <c:val>
            <c:numRef>
              <c:f>Sheet1!$D$2:$D$5</c:f>
              <c:numCache>
                <c:formatCode>General</c:formatCode>
                <c:ptCount val="4"/>
              </c:numCache>
            </c:numRef>
          </c:val>
        </c:ser>
        <c:dLbls>
          <c:showLegendKey val="false"/>
          <c:showVal val="false"/>
          <c:showCatName val="false"/>
          <c:showSerName val="false"/>
          <c:showPercent val="false"/>
          <c:showBubbleSize val="false"/>
        </c:dLbls>
        <c:gapWidth val="219"/>
        <c:overlap val="-27"/>
        <c:axId val="436207175"/>
        <c:axId val="377012729"/>
      </c:barChart>
      <c:catAx>
        <c:axId val="436207175"/>
        <c:scaling>
          <c:orientation val="minMax"/>
        </c:scaling>
        <c:delete val="false"/>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377012729"/>
        <c:crosses val="autoZero"/>
        <c:auto val="true"/>
        <c:lblAlgn val="ctr"/>
        <c:lblOffset val="100"/>
        <c:noMultiLvlLbl val="false"/>
      </c:catAx>
      <c:valAx>
        <c:axId val="377012729"/>
        <c:scaling>
          <c:orientation val="minMax"/>
        </c:scaling>
        <c:delete val="false"/>
        <c:axPos val="l"/>
        <c:majorGridlines>
          <c:spPr>
            <a:ln w="9525" cap="flat" cmpd="sng" algn="ctr">
              <a:solidFill>
                <a:schemeClr val="tx1">
                  <a:lumMod val="15000"/>
                  <a:lumOff val="85000"/>
                </a:schemeClr>
              </a:solidFill>
              <a:round/>
            </a:ln>
            <a:effectLst/>
          </c:spPr>
        </c:majorGridlines>
        <c:numFmt formatCode="General" sourceLinked="true"/>
        <c:majorTickMark val="none"/>
        <c:minorTickMark val="none"/>
        <c:tickLblPos val="nextTo"/>
        <c:spPr>
          <a:noFill/>
          <a:ln>
            <a:noFill/>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436207175"/>
        <c:crosses val="autoZero"/>
        <c:crossBetween val="between"/>
      </c:valAx>
      <c:spPr>
        <a:noFill/>
        <a:ln>
          <a:noFill/>
        </a:ln>
        <a:effectLst/>
      </c:spPr>
    </c:plotArea>
    <c:legend>
      <c:legendPos val="b"/>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defTabSz="914400">
              <a:defRPr lang="zh-CN" sz="1400" b="0" i="0" u="none" strike="noStrike" kern="1200" spc="0" baseline="0">
                <a:solidFill>
                  <a:schemeClr val="tx1">
                    <a:lumMod val="65000"/>
                    <a:lumOff val="35000"/>
                  </a:schemeClr>
                </a:solidFill>
                <a:latin typeface="+mn-lt"/>
                <a:ea typeface="+mn-ea"/>
                <a:cs typeface="+mn-cs"/>
              </a:defRPr>
            </a:pPr>
            <a:r>
              <a:t>收入决算结构图
</a:t>
            </a:r>
          </a:p>
        </c:rich>
      </c:tx>
      <c:layout/>
      <c:overlay val="false"/>
      <c:spPr>
        <a:noFill/>
        <a:ln>
          <a:noFill/>
        </a:ln>
        <a:effectLst/>
      </c:spPr>
    </c:title>
    <c:autoTitleDeleted val="false"/>
    <c:plotArea>
      <c:layout/>
      <c:pieChart>
        <c:varyColors val="true"/>
        <c:ser>
          <c:idx val="0"/>
          <c:order val="0"/>
          <c:spPr/>
          <c:explosion val="0"/>
          <c:dPt>
            <c:idx val="0"/>
            <c:bubble3D val="false"/>
            <c:spPr>
              <a:solidFill>
                <a:schemeClr val="accent1"/>
              </a:solidFill>
              <a:ln w="19050">
                <a:solidFill>
                  <a:schemeClr val="lt1"/>
                </a:solidFill>
              </a:ln>
              <a:effectLst/>
            </c:spPr>
          </c:dPt>
          <c:dPt>
            <c:idx val="1"/>
            <c:bubble3D val="false"/>
            <c:spPr>
              <a:solidFill>
                <a:schemeClr val="accent2"/>
              </a:solidFill>
              <a:ln w="19050">
                <a:solidFill>
                  <a:schemeClr val="lt1"/>
                </a:solidFill>
              </a:ln>
              <a:effectLst/>
            </c:spPr>
          </c:dPt>
          <c:dPt>
            <c:idx val="2"/>
            <c:bubble3D val="false"/>
            <c:spPr>
              <a:solidFill>
                <a:schemeClr val="accent3"/>
              </a:solidFill>
              <a:ln w="19050">
                <a:solidFill>
                  <a:schemeClr val="lt1"/>
                </a:solidFill>
              </a:ln>
              <a:effectLst/>
            </c:spPr>
          </c:dPt>
          <c:dLbls>
            <c:delete val="true"/>
          </c:dLbls>
          <c:cat>
            <c:strRef>
              <c:f>[Workbook1.xlsx]Sheet1!$A$1:$A$3</c:f>
              <c:strCache>
                <c:ptCount val="3"/>
                <c:pt idx="0">
                  <c:v> </c:v>
                </c:pt>
                <c:pt idx="1">
                  <c:v>一般公共预算财政拨款收入</c:v>
                </c:pt>
                <c:pt idx="2">
                  <c:v>政府性基金预算财政拨款收入</c:v>
                </c:pt>
              </c:strCache>
            </c:strRef>
          </c:cat>
          <c:val>
            <c:numRef>
              <c:f>[Workbook1.xlsx]Sheet1!$B$1:$B$3</c:f>
              <c:numCache>
                <c:formatCode>General</c:formatCode>
                <c:ptCount val="3"/>
                <c:pt idx="0">
                  <c:v>0</c:v>
                </c:pt>
                <c:pt idx="1">
                  <c:v>821.41</c:v>
                </c:pt>
                <c:pt idx="2">
                  <c:v>31</c:v>
                </c:pt>
              </c:numCache>
            </c:numRef>
          </c:val>
        </c:ser>
        <c:ser>
          <c:idx val="1"/>
          <c:order val="1"/>
          <c:spPr/>
          <c:explosion val="0"/>
          <c:dPt>
            <c:idx val="0"/>
            <c:bubble3D val="false"/>
            <c:spPr>
              <a:solidFill>
                <a:schemeClr val="accent1"/>
              </a:solidFill>
              <a:ln w="19050">
                <a:solidFill>
                  <a:schemeClr val="lt1"/>
                </a:solidFill>
              </a:ln>
              <a:effectLst/>
            </c:spPr>
          </c:dPt>
          <c:dPt>
            <c:idx val="1"/>
            <c:bubble3D val="false"/>
            <c:spPr>
              <a:solidFill>
                <a:schemeClr val="accent2"/>
              </a:solidFill>
              <a:ln w="19050">
                <a:solidFill>
                  <a:schemeClr val="lt1"/>
                </a:solidFill>
              </a:ln>
              <a:effectLst/>
            </c:spPr>
          </c:dPt>
          <c:dPt>
            <c:idx val="2"/>
            <c:bubble3D val="false"/>
            <c:spPr>
              <a:solidFill>
                <a:schemeClr val="accent3"/>
              </a:solidFill>
              <a:ln w="19050">
                <a:solidFill>
                  <a:schemeClr val="lt1"/>
                </a:solidFill>
              </a:ln>
              <a:effectLst/>
            </c:spPr>
          </c:dPt>
          <c:dLbls>
            <c:delete val="true"/>
          </c:dLbls>
          <c:cat>
            <c:strRef>
              <c:f>[Workbook1.xlsx]Sheet1!$A$1:$A$3</c:f>
              <c:strCache>
                <c:ptCount val="3"/>
                <c:pt idx="0">
                  <c:v> </c:v>
                </c:pt>
                <c:pt idx="1">
                  <c:v>一般公共预算财政拨款收入</c:v>
                </c:pt>
                <c:pt idx="2">
                  <c:v>政府性基金预算财政拨款收入</c:v>
                </c:pt>
              </c:strCache>
            </c:strRef>
          </c:cat>
          <c:val>
            <c:numRef>
              <c:f>[Workbook1.xlsx]Sheet1!$C$1:$C$3</c:f>
              <c:numCache>
                <c:formatCode>General</c:formatCode>
                <c:ptCount val="3"/>
              </c:numCache>
            </c:numRef>
          </c:val>
        </c:ser>
        <c:dLbls>
          <c:showLegendKey val="false"/>
          <c:showVal val="false"/>
          <c:showCatName val="false"/>
          <c:showSerName val="false"/>
          <c:showPercent val="false"/>
          <c:showBubbleSize val="false"/>
          <c:showLeaderLines val="true"/>
        </c:dLbls>
        <c:firstSliceAng val="0"/>
      </c:pieChart>
      <c:spPr>
        <a:noFill/>
        <a:ln>
          <a:noFill/>
        </a:ln>
        <a:effectLst/>
      </c:spPr>
    </c:plotArea>
    <c:legend>
      <c:legendPos val="b"/>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362280971411005"/>
          <c:y val="0.00614754098360656"/>
        </c:manualLayout>
      </c:layout>
      <c:overlay val="false"/>
      <c:spPr>
        <a:noFill/>
        <a:ln>
          <a:noFill/>
        </a:ln>
        <a:effectLst/>
      </c:spPr>
      <c:txPr>
        <a:bodyPr rot="0" spcFirstLastPara="0" vertOverflow="ellipsis" vert="horz" wrap="square" anchor="ctr" anchorCtr="true"/>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false"/>
    <c:plotArea>
      <c:layout/>
      <c:pieChart>
        <c:varyColors val="true"/>
        <c:ser>
          <c:idx val="0"/>
          <c:order val="0"/>
          <c:tx>
            <c:strRef>
              <c:f>Sheet1!$B$1</c:f>
              <c:strCache>
                <c:ptCount val="1"/>
                <c:pt idx="0">
                  <c:v>支出决算结构</c:v>
                </c:pt>
              </c:strCache>
            </c:strRef>
          </c:tx>
          <c:spPr/>
          <c:explosion val="0"/>
          <c:dPt>
            <c:idx val="0"/>
            <c:bubble3D val="false"/>
            <c:spPr>
              <a:solidFill>
                <a:schemeClr val="accent1"/>
              </a:solidFill>
              <a:ln w="19050">
                <a:solidFill>
                  <a:schemeClr val="lt1"/>
                </a:solidFill>
              </a:ln>
              <a:effectLst/>
            </c:spPr>
          </c:dPt>
          <c:dPt>
            <c:idx val="1"/>
            <c:bubble3D val="false"/>
            <c:spPr>
              <a:solidFill>
                <a:schemeClr val="accent2"/>
              </a:solidFill>
              <a:ln w="19050">
                <a:solidFill>
                  <a:schemeClr val="lt1"/>
                </a:solidFill>
              </a:ln>
              <a:effectLst/>
            </c:spPr>
          </c:dPt>
          <c:dPt>
            <c:idx val="2"/>
            <c:bubble3D val="false"/>
            <c:spPr>
              <a:solidFill>
                <a:schemeClr val="accent3"/>
              </a:solidFill>
              <a:ln w="19050">
                <a:solidFill>
                  <a:schemeClr val="lt1"/>
                </a:solidFill>
              </a:ln>
              <a:effectLst/>
            </c:spPr>
          </c:dPt>
          <c:dPt>
            <c:idx val="3"/>
            <c:bubble3D val="false"/>
            <c:spPr>
              <a:solidFill>
                <a:schemeClr val="accent4"/>
              </a:solidFill>
              <a:ln w="19050">
                <a:solidFill>
                  <a:schemeClr val="lt1"/>
                </a:solidFill>
              </a:ln>
              <a:effectLst/>
            </c:spPr>
          </c:dPt>
          <c:dLbls>
            <c:delete val="true"/>
          </c:dLbls>
          <c:cat>
            <c:strRef>
              <c:f>Sheet1!$A$2:$A$5</c:f>
              <c:strCache>
                <c:ptCount val="4"/>
                <c:pt idx="0">
                  <c:v>基本支出</c:v>
                </c:pt>
                <c:pt idx="1">
                  <c:v>项目支出</c:v>
                </c:pt>
              </c:strCache>
            </c:strRef>
          </c:cat>
          <c:val>
            <c:numRef>
              <c:f>Sheet1!$B$2:$B$5</c:f>
              <c:numCache>
                <c:formatCode>0.00%</c:formatCode>
                <c:ptCount val="4"/>
                <c:pt idx="0">
                  <c:v>0.7761</c:v>
                </c:pt>
                <c:pt idx="1">
                  <c:v>0.2239</c:v>
                </c:pt>
              </c:numCache>
            </c:numRef>
          </c:val>
        </c:ser>
        <c:dLbls>
          <c:showLegendKey val="false"/>
          <c:showVal val="false"/>
          <c:showCatName val="false"/>
          <c:showSerName val="false"/>
          <c:showPercent val="false"/>
          <c:showBubbleSize val="false"/>
          <c:showLeaderLines val="true"/>
        </c:dLbls>
        <c:firstSliceAng val="0"/>
      </c:pieChart>
      <c:spPr>
        <a:noFill/>
        <a:ln>
          <a:noFill/>
        </a:ln>
        <a:effectLst/>
      </c:spPr>
    </c:plotArea>
    <c:legend>
      <c:legendPos val="b"/>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true"/>
          <a:lstStyle/>
          <a:p>
            <a:pPr defTabSz="914400">
              <a:defRPr lang="zh-CN" sz="1400" b="0" i="0" u="none" strike="noStrike" kern="1200" spc="0" baseline="0">
                <a:solidFill>
                  <a:schemeClr val="tx1">
                    <a:lumMod val="65000"/>
                    <a:lumOff val="35000"/>
                  </a:schemeClr>
                </a:solidFill>
                <a:latin typeface="+mn-lt"/>
                <a:ea typeface="+mn-ea"/>
                <a:cs typeface="+mn-cs"/>
              </a:defRPr>
            </a:pPr>
            <a:r>
              <a:t>收支变动情况</a:t>
            </a:r>
          </a:p>
        </c:rich>
      </c:tx>
      <c:layout>
        <c:manualLayout>
          <c:xMode val="edge"/>
          <c:yMode val="edge"/>
          <c:x val="0.423"/>
          <c:y val="0.018"/>
        </c:manualLayout>
      </c:layout>
      <c:overlay val="false"/>
      <c:spPr>
        <a:noFill/>
        <a:ln>
          <a:noFill/>
        </a:ln>
        <a:effectLst/>
      </c:spPr>
    </c:title>
    <c:autoTitleDeleted val="false"/>
    <c:plotArea>
      <c:layout/>
      <c:barChart>
        <c:barDir val="col"/>
        <c:grouping val="clustered"/>
        <c:varyColors val="false"/>
        <c:ser>
          <c:idx val="0"/>
          <c:order val="0"/>
          <c:tx>
            <c:strRef>
              <c:f>Sheet1!$B$1</c:f>
              <c:strCache>
                <c:ptCount val="1"/>
                <c:pt idx="0">
                  <c:v>万元</c:v>
                </c:pt>
              </c:strCache>
            </c:strRef>
          </c:tx>
          <c:spPr>
            <a:solidFill>
              <a:schemeClr val="accent1"/>
            </a:solidFill>
            <a:ln>
              <a:noFill/>
            </a:ln>
            <a:effectLst/>
          </c:spPr>
          <c:invertIfNegative val="false"/>
          <c:dLbls>
            <c:delete val="true"/>
          </c:dLbls>
          <c:cat>
            <c:strRef>
              <c:f>Sheet1!$A$2:$A$5</c:f>
              <c:strCache>
                <c:ptCount val="4"/>
                <c:pt idx="0">
                  <c:v>2018年财政拨款收、支总计</c:v>
                </c:pt>
                <c:pt idx="2">
                  <c:v>2019年财政拨款收、支总计</c:v>
                </c:pt>
              </c:strCache>
            </c:strRef>
          </c:cat>
          <c:val>
            <c:numRef>
              <c:f>Sheet1!$B$2:$B$5</c:f>
              <c:numCache>
                <c:formatCode>General</c:formatCode>
                <c:ptCount val="4"/>
                <c:pt idx="0">
                  <c:v>829.01</c:v>
                </c:pt>
                <c:pt idx="2">
                  <c:v>852.41</c:v>
                </c:pt>
              </c:numCache>
            </c:numRef>
          </c:val>
        </c:ser>
        <c:ser>
          <c:idx val="1"/>
          <c:order val="1"/>
          <c:tx>
            <c:strRef>
              <c:f>Sheet1!$C$1</c:f>
              <c:strCache>
                <c:ptCount val="1"/>
                <c:pt idx="0">
                  <c:v/>
                </c:pt>
              </c:strCache>
            </c:strRef>
          </c:tx>
          <c:spPr>
            <a:solidFill>
              <a:schemeClr val="accent2"/>
            </a:solidFill>
            <a:ln>
              <a:noFill/>
            </a:ln>
            <a:effectLst/>
          </c:spPr>
          <c:invertIfNegative val="false"/>
          <c:dLbls>
            <c:delete val="true"/>
          </c:dLbls>
          <c:cat>
            <c:strRef>
              <c:f>Sheet1!$A$2:$A$5</c:f>
              <c:strCache>
                <c:ptCount val="4"/>
                <c:pt idx="0">
                  <c:v>2018年财政拨款收、支总计</c:v>
                </c:pt>
                <c:pt idx="2">
                  <c:v>2019年财政拨款收、支总计</c:v>
                </c:pt>
              </c:strCache>
            </c:strRef>
          </c:cat>
          <c:val>
            <c:numRef>
              <c:f>Sheet1!$C$2:$C$5</c:f>
              <c:numCache>
                <c:formatCode>General</c:formatCode>
                <c:ptCount val="4"/>
              </c:numCache>
            </c:numRef>
          </c:val>
        </c:ser>
        <c:ser>
          <c:idx val="2"/>
          <c:order val="2"/>
          <c:tx>
            <c:strRef>
              <c:f>Sheet1!$D$1</c:f>
              <c:strCache>
                <c:ptCount val="1"/>
                <c:pt idx="0">
                  <c:v/>
                </c:pt>
              </c:strCache>
            </c:strRef>
          </c:tx>
          <c:spPr>
            <a:solidFill>
              <a:schemeClr val="accent3"/>
            </a:solidFill>
            <a:ln>
              <a:noFill/>
            </a:ln>
            <a:effectLst/>
          </c:spPr>
          <c:invertIfNegative val="false"/>
          <c:dLbls>
            <c:delete val="true"/>
          </c:dLbls>
          <c:cat>
            <c:strRef>
              <c:f>Sheet1!$A$2:$A$5</c:f>
              <c:strCache>
                <c:ptCount val="4"/>
                <c:pt idx="0">
                  <c:v>2018年财政拨款收、支总计</c:v>
                </c:pt>
                <c:pt idx="2">
                  <c:v>2019年财政拨款收、支总计</c:v>
                </c:pt>
              </c:strCache>
            </c:strRef>
          </c:cat>
          <c:val>
            <c:numRef>
              <c:f>Sheet1!$D$2:$D$5</c:f>
              <c:numCache>
                <c:formatCode>General</c:formatCode>
                <c:ptCount val="4"/>
              </c:numCache>
            </c:numRef>
          </c:val>
        </c:ser>
        <c:dLbls>
          <c:showLegendKey val="false"/>
          <c:showVal val="false"/>
          <c:showCatName val="false"/>
          <c:showSerName val="false"/>
          <c:showPercent val="false"/>
          <c:showBubbleSize val="false"/>
        </c:dLbls>
        <c:gapWidth val="219"/>
        <c:overlap val="-27"/>
        <c:axId val="113305931"/>
        <c:axId val="310043146"/>
      </c:barChart>
      <c:catAx>
        <c:axId val="113305931"/>
        <c:scaling>
          <c:orientation val="minMax"/>
        </c:scaling>
        <c:delete val="false"/>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310043146"/>
        <c:crosses val="autoZero"/>
        <c:auto val="true"/>
        <c:lblAlgn val="ctr"/>
        <c:lblOffset val="100"/>
        <c:noMultiLvlLbl val="false"/>
      </c:catAx>
      <c:valAx>
        <c:axId val="310043146"/>
        <c:scaling>
          <c:orientation val="minMax"/>
        </c:scaling>
        <c:delete val="false"/>
        <c:axPos val="l"/>
        <c:majorGridlines>
          <c:spPr>
            <a:ln w="9525" cap="flat" cmpd="sng" algn="ctr">
              <a:solidFill>
                <a:schemeClr val="tx1">
                  <a:lumMod val="15000"/>
                  <a:lumOff val="85000"/>
                </a:schemeClr>
              </a:solidFill>
              <a:round/>
            </a:ln>
            <a:effectLst/>
          </c:spPr>
        </c:majorGridlines>
        <c:numFmt formatCode="General" sourceLinked="true"/>
        <c:majorTickMark val="none"/>
        <c:minorTickMark val="none"/>
        <c:tickLblPos val="nextTo"/>
        <c:spPr>
          <a:noFill/>
          <a:ln>
            <a:noFill/>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113305931"/>
        <c:crosses val="autoZero"/>
        <c:crossBetween val="between"/>
      </c:valAx>
      <c:spPr>
        <a:noFill/>
        <a:ln>
          <a:noFill/>
        </a:ln>
        <a:effectLst/>
      </c:spPr>
    </c:plotArea>
    <c:legend>
      <c:legendPos val="b"/>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autoTitleDeleted val="true"/>
    <c:plotArea>
      <c:layout/>
      <c:barChart>
        <c:barDir val="col"/>
        <c:grouping val="clustered"/>
        <c:varyColors val="false"/>
        <c:ser>
          <c:idx val="0"/>
          <c:order val="0"/>
          <c:tx>
            <c:strRef>
              <c:f>Sheet1!$B$1</c:f>
              <c:strCache>
                <c:ptCount val="1"/>
                <c:pt idx="0">
                  <c:v>万元</c:v>
                </c:pt>
              </c:strCache>
            </c:strRef>
          </c:tx>
          <c:spPr>
            <a:solidFill>
              <a:schemeClr val="accent1"/>
            </a:solidFill>
            <a:ln>
              <a:noFill/>
            </a:ln>
            <a:effectLst/>
          </c:spPr>
          <c:invertIfNegative val="false"/>
          <c:dLbls>
            <c:delete val="true"/>
          </c:dLbls>
          <c:cat>
            <c:strRef>
              <c:f>Sheet1!$A$2:$A$5</c:f>
              <c:strCache>
                <c:ptCount val="4"/>
                <c:pt idx="0">
                  <c:v>2018一般公共预算财政拨款支出</c:v>
                </c:pt>
                <c:pt idx="2">
                  <c:v>2019一般公共预算财政拨款支出</c:v>
                </c:pt>
              </c:strCache>
            </c:strRef>
          </c:cat>
          <c:val>
            <c:numRef>
              <c:f>Sheet1!$B$2:$B$5</c:f>
              <c:numCache>
                <c:formatCode>General</c:formatCode>
                <c:ptCount val="4"/>
                <c:pt idx="0">
                  <c:v>829.01</c:v>
                </c:pt>
                <c:pt idx="2">
                  <c:v>852.41</c:v>
                </c:pt>
              </c:numCache>
            </c:numRef>
          </c:val>
        </c:ser>
        <c:ser>
          <c:idx val="1"/>
          <c:order val="1"/>
          <c:tx>
            <c:strRef>
              <c:f>Sheet1!$C$1</c:f>
              <c:strCache>
                <c:ptCount val="1"/>
                <c:pt idx="0">
                  <c:v/>
                </c:pt>
              </c:strCache>
            </c:strRef>
          </c:tx>
          <c:spPr>
            <a:solidFill>
              <a:schemeClr val="accent2"/>
            </a:solidFill>
            <a:ln>
              <a:noFill/>
            </a:ln>
            <a:effectLst/>
          </c:spPr>
          <c:invertIfNegative val="false"/>
          <c:dLbls>
            <c:delete val="true"/>
          </c:dLbls>
          <c:cat>
            <c:strRef>
              <c:f>Sheet1!$A$2:$A$5</c:f>
              <c:strCache>
                <c:ptCount val="4"/>
                <c:pt idx="0">
                  <c:v>2018一般公共预算财政拨款支出</c:v>
                </c:pt>
                <c:pt idx="2">
                  <c:v>2019一般公共预算财政拨款支出</c:v>
                </c:pt>
              </c:strCache>
            </c:strRef>
          </c:cat>
          <c:val>
            <c:numRef>
              <c:f>Sheet1!$C$2:$C$5</c:f>
              <c:numCache>
                <c:formatCode>General</c:formatCode>
                <c:ptCount val="4"/>
              </c:numCache>
            </c:numRef>
          </c:val>
        </c:ser>
        <c:ser>
          <c:idx val="2"/>
          <c:order val="2"/>
          <c:tx>
            <c:strRef>
              <c:f>Sheet1!$D$1</c:f>
              <c:strCache>
                <c:ptCount val="1"/>
                <c:pt idx="0">
                  <c:v/>
                </c:pt>
              </c:strCache>
            </c:strRef>
          </c:tx>
          <c:spPr>
            <a:solidFill>
              <a:schemeClr val="accent3"/>
            </a:solidFill>
            <a:ln>
              <a:noFill/>
            </a:ln>
            <a:effectLst/>
          </c:spPr>
          <c:invertIfNegative val="false"/>
          <c:dLbls>
            <c:delete val="true"/>
          </c:dLbls>
          <c:cat>
            <c:strRef>
              <c:f>Sheet1!$A$2:$A$5</c:f>
              <c:strCache>
                <c:ptCount val="4"/>
                <c:pt idx="0">
                  <c:v>2018一般公共预算财政拨款支出</c:v>
                </c:pt>
                <c:pt idx="2">
                  <c:v>2019一般公共预算财政拨款支出</c:v>
                </c:pt>
              </c:strCache>
            </c:strRef>
          </c:cat>
          <c:val>
            <c:numRef>
              <c:f>Sheet1!$D$2:$D$5</c:f>
              <c:numCache>
                <c:formatCode>General</c:formatCode>
                <c:ptCount val="4"/>
              </c:numCache>
            </c:numRef>
          </c:val>
        </c:ser>
        <c:dLbls>
          <c:showLegendKey val="false"/>
          <c:showVal val="false"/>
          <c:showCatName val="false"/>
          <c:showSerName val="false"/>
          <c:showPercent val="false"/>
          <c:showBubbleSize val="false"/>
        </c:dLbls>
        <c:gapWidth val="219"/>
        <c:overlap val="-27"/>
        <c:axId val="962816386"/>
        <c:axId val="759634525"/>
      </c:barChart>
      <c:catAx>
        <c:axId val="962816386"/>
        <c:scaling>
          <c:orientation val="minMax"/>
        </c:scaling>
        <c:delete val="false"/>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759634525"/>
        <c:crosses val="autoZero"/>
        <c:auto val="true"/>
        <c:lblAlgn val="ctr"/>
        <c:lblOffset val="100"/>
        <c:noMultiLvlLbl val="false"/>
      </c:catAx>
      <c:valAx>
        <c:axId val="759634525"/>
        <c:scaling>
          <c:orientation val="minMax"/>
        </c:scaling>
        <c:delete val="false"/>
        <c:axPos val="l"/>
        <c:majorGridlines>
          <c:spPr>
            <a:ln w="9525" cap="flat" cmpd="sng" algn="ctr">
              <a:solidFill>
                <a:schemeClr val="tx1">
                  <a:lumMod val="15000"/>
                  <a:lumOff val="85000"/>
                </a:schemeClr>
              </a:solidFill>
              <a:round/>
            </a:ln>
            <a:effectLst/>
          </c:spPr>
        </c:majorGridlines>
        <c:numFmt formatCode="General" sourceLinked="true"/>
        <c:majorTickMark val="none"/>
        <c:minorTickMark val="none"/>
        <c:tickLblPos val="nextTo"/>
        <c:spPr>
          <a:noFill/>
          <a:ln>
            <a:noFill/>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962816386"/>
        <c:crosses val="autoZero"/>
        <c:crossBetween val="between"/>
      </c:valAx>
      <c:spPr>
        <a:noFill/>
        <a:ln>
          <a:noFill/>
        </a:ln>
        <a:effectLst/>
      </c:spPr>
    </c:plotArea>
    <c:legend>
      <c:legendPos val="b"/>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true">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true">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true">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true">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true">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四川省财政厅</Company>
  <Pages>24</Pages>
  <Words>7622</Words>
  <Characters>931</Characters>
  <Lines>7</Lines>
  <Paragraphs>17</Paragraphs>
  <TotalTime>2</TotalTime>
  <ScaleCrop>false</ScaleCrop>
  <LinksUpToDate>false</LinksUpToDate>
  <CharactersWithSpaces>8536</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2020-08-04T09:49:00Z</dcterms:created>
  <dc:creator>曹颖</dc:creator>
  <cp:lastModifiedBy>user</cp:lastModifiedBy>
  <cp:lastPrinted>2020-11-12T10:27:00Z</cp:lastPrinted>
  <dcterms:modified xsi:type="dcterms:W3CDTF">2023-11-03T10:33:52Z</dcterms:modified>
  <dc:title>四川省***</dc:title>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